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73DC33" w14:textId="3D8792B2" w:rsidR="006E483D" w:rsidRDefault="006E483D" w:rsidP="006E483D">
      <w:pPr>
        <w:spacing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TRANSCRIÇÃO DOS TEXTOS</w:t>
      </w:r>
    </w:p>
    <w:p w14:paraId="56609D78" w14:textId="721E358F"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Tarefa: A SOCIEDADE</w:t>
      </w:r>
      <w:r>
        <w:rPr>
          <w:rFonts w:ascii="Times New Roman" w:eastAsia="Times New Roman" w:hAnsi="Times New Roman" w:cs="Times New Roman"/>
          <w:b/>
          <w:sz w:val="24"/>
          <w:szCs w:val="24"/>
        </w:rPr>
        <w:t>/MULHERES</w:t>
      </w:r>
      <w:bookmarkStart w:id="0" w:name="_o0cm2djwi4y7"/>
      <w:bookmarkEnd w:id="0"/>
    </w:p>
    <w:p w14:paraId="5385E6E6" w14:textId="77777777" w:rsidR="006E483D" w:rsidRDefault="006E483D" w:rsidP="006E483D">
      <w:pPr>
        <w:spacing w:line="360" w:lineRule="auto"/>
        <w:jc w:val="both"/>
        <w:rPr>
          <w:rFonts w:ascii="Times New Roman" w:eastAsia="Times New Roman" w:hAnsi="Times New Roman" w:cs="Times New Roman"/>
          <w:sz w:val="24"/>
          <w:szCs w:val="24"/>
        </w:rPr>
      </w:pPr>
    </w:p>
    <w:p w14:paraId="52F7EB62"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Passo 1: </w:t>
      </w:r>
    </w:p>
    <w:p w14:paraId="0C0DE2AD" w14:textId="77777777" w:rsidR="006E483D" w:rsidRDefault="006E483D" w:rsidP="006E483D">
      <w:pPr>
        <w:spacing w:line="360" w:lineRule="auto"/>
        <w:jc w:val="both"/>
        <w:rPr>
          <w:rFonts w:ascii="Times New Roman" w:eastAsia="Times New Roman" w:hAnsi="Times New Roman" w:cs="Times New Roman"/>
          <w:sz w:val="24"/>
          <w:szCs w:val="24"/>
          <w:highlight w:val="white"/>
          <w:lang w:val="en-US"/>
        </w:rPr>
      </w:pPr>
      <w:r>
        <w:rPr>
          <w:rFonts w:ascii="Times New Roman" w:eastAsia="Times New Roman" w:hAnsi="Times New Roman" w:cs="Times New Roman"/>
          <w:sz w:val="24"/>
          <w:szCs w:val="24"/>
        </w:rPr>
        <w:t xml:space="preserve">Texto 1 - </w:t>
      </w:r>
      <w:r>
        <w:rPr>
          <w:rFonts w:ascii="Times New Roman" w:eastAsia="Times New Roman" w:hAnsi="Times New Roman" w:cs="Times New Roman"/>
          <w:sz w:val="24"/>
          <w:szCs w:val="24"/>
          <w:highlight w:val="white"/>
        </w:rPr>
        <w:t xml:space="preserve">Mulheres no trabalho. </w:t>
      </w:r>
      <w:r>
        <w:rPr>
          <w:rFonts w:ascii="Times New Roman" w:eastAsia="Times New Roman" w:hAnsi="Times New Roman" w:cs="Times New Roman"/>
          <w:sz w:val="24"/>
          <w:szCs w:val="24"/>
          <w:highlight w:val="white"/>
          <w:lang w:val="en-US"/>
        </w:rPr>
        <w:t xml:space="preserve">Por </w:t>
      </w:r>
      <w:proofErr w:type="spellStart"/>
      <w:r>
        <w:rPr>
          <w:rFonts w:ascii="Times New Roman" w:eastAsia="Times New Roman" w:hAnsi="Times New Roman" w:cs="Times New Roman"/>
          <w:sz w:val="24"/>
          <w:szCs w:val="24"/>
          <w:highlight w:val="white"/>
          <w:lang w:val="en-US"/>
        </w:rPr>
        <w:t>Sebillotte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Cuchet</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Violaine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Sronek</w:t>
      </w:r>
      <w:proofErr w:type="spellEnd"/>
      <w:r>
        <w:rPr>
          <w:rFonts w:ascii="Times New Roman" w:eastAsia="Times New Roman" w:hAnsi="Times New Roman" w:cs="Times New Roman"/>
          <w:sz w:val="24"/>
          <w:szCs w:val="24"/>
          <w:highlight w:val="white"/>
          <w:lang w:val="en-US"/>
        </w:rPr>
        <w:t xml:space="preserve">, Marie-Laure. </w:t>
      </w:r>
    </w:p>
    <w:p w14:paraId="0BBDB2AF"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“Segundo as fontes da tradição manuscrita, a primeira forma de trabalho a existir em Atenas se desenvolve no âmbito doméstico e se organiza em torno da gestão dos escravos, do preparo dos alimentos, da educação das crianças e da boa manutenção geral do </w:t>
      </w:r>
      <w:proofErr w:type="spellStart"/>
      <w:r>
        <w:rPr>
          <w:rFonts w:ascii="Times New Roman" w:eastAsia="Times New Roman" w:hAnsi="Times New Roman" w:cs="Times New Roman"/>
          <w:i/>
          <w:sz w:val="24"/>
          <w:szCs w:val="24"/>
          <w:highlight w:val="white"/>
        </w:rPr>
        <w:t>oikos</w:t>
      </w:r>
      <w:proofErr w:type="spellEnd"/>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 xml:space="preserve">Porém, as atenienses, e não apenas metecas e escravas, podem ser levadas, quando o nível econômico das famílias o justifica, a exercer uma atividade profissional remunerada destinada a prover necessidades básicas. Dois casos são encontrados então: ou a mulher produz bens no interior de sua casa (pães, vestimentas, bolos...) e vai à ágora vendê-los no mercado, ou ela exerce uma atividade independente de seu </w:t>
      </w:r>
      <w:proofErr w:type="spellStart"/>
      <w:r>
        <w:rPr>
          <w:rFonts w:ascii="Times New Roman" w:eastAsia="Times New Roman" w:hAnsi="Times New Roman" w:cs="Times New Roman"/>
          <w:i/>
          <w:sz w:val="24"/>
          <w:szCs w:val="24"/>
          <w:highlight w:val="white"/>
        </w:rPr>
        <w:t>oikos</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Nesse caso, os domínios de atuação são bastante vastos: artesanato (sapateira, mas também ourives ou pintora, como mostra a imagem com uma mulher decorando um vaso), mas também “serviços” (ama de leite, lavadeiras, gerente de prostíbulos). É preciso sublinhar a autonomia que tais ofícios conferem. Algumas tinham tanto orgulho que mandavam gravar sua atividade profissional nas dedicatórias dos objetos que consagravam às divindades. Nessas ocasiões, as mulheres transitam no exterior de seus </w:t>
      </w:r>
      <w:proofErr w:type="spellStart"/>
      <w:r>
        <w:rPr>
          <w:rFonts w:ascii="Times New Roman" w:eastAsia="Times New Roman" w:hAnsi="Times New Roman" w:cs="Times New Roman"/>
          <w:i/>
          <w:sz w:val="24"/>
          <w:szCs w:val="24"/>
          <w:highlight w:val="white"/>
        </w:rPr>
        <w:t>oikoi</w:t>
      </w:r>
      <w:proofErr w:type="spellEnd"/>
      <w:r>
        <w:rPr>
          <w:rFonts w:ascii="Times New Roman" w:eastAsia="Times New Roman" w:hAnsi="Times New Roman" w:cs="Times New Roman"/>
          <w:sz w:val="24"/>
          <w:szCs w:val="24"/>
          <w:highlight w:val="white"/>
        </w:rPr>
        <w:t xml:space="preserve"> e entram em contato com outros homens para além de seus maridos, tanto na ágora, onde as vendedoras e os vendedores não ocupam lugares geograficamente separados, quanto em suas próprias lojas.” </w:t>
      </w:r>
    </w:p>
    <w:p w14:paraId="077CA105" w14:textId="77777777" w:rsidR="006E483D" w:rsidRDefault="006E483D" w:rsidP="006E483D">
      <w:pPr>
        <w:spacing w:line="360" w:lineRule="auto"/>
        <w:jc w:val="both"/>
        <w:rPr>
          <w:rFonts w:ascii="Times New Roman" w:eastAsia="Times New Roman" w:hAnsi="Times New Roman" w:cs="Times New Roman"/>
          <w:sz w:val="24"/>
          <w:szCs w:val="24"/>
          <w:highlight w:val="white"/>
        </w:rPr>
      </w:pPr>
    </w:p>
    <w:p w14:paraId="5339EE31"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Texto 2 - Não-cidadãs? Por </w:t>
      </w:r>
      <w:proofErr w:type="spellStart"/>
      <w:r>
        <w:rPr>
          <w:rFonts w:ascii="Times New Roman" w:eastAsia="Times New Roman" w:hAnsi="Times New Roman" w:cs="Times New Roman"/>
          <w:sz w:val="24"/>
          <w:szCs w:val="24"/>
          <w:highlight w:val="white"/>
        </w:rPr>
        <w:t>Guicharrouse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Romain</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Sebillotte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Cuchet</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Violaine</w:t>
      </w:r>
      <w:proofErr w:type="spellEnd"/>
      <w:r>
        <w:rPr>
          <w:rFonts w:ascii="Times New Roman" w:eastAsia="Times New Roman" w:hAnsi="Times New Roman" w:cs="Times New Roman"/>
          <w:sz w:val="24"/>
          <w:szCs w:val="24"/>
          <w:highlight w:val="white"/>
        </w:rPr>
        <w:t>.</w:t>
      </w:r>
    </w:p>
    <w:p w14:paraId="7073C289"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i/>
          <w:sz w:val="24"/>
          <w:szCs w:val="24"/>
          <w:highlight w:val="white"/>
        </w:rPr>
        <w:t>Athenaioi</w:t>
      </w:r>
      <w:proofErr w:type="spellEnd"/>
      <w:r>
        <w:rPr>
          <w:rFonts w:ascii="Times New Roman" w:eastAsia="Times New Roman" w:hAnsi="Times New Roman" w:cs="Times New Roman"/>
          <w:sz w:val="24"/>
          <w:szCs w:val="24"/>
          <w:highlight w:val="white"/>
        </w:rPr>
        <w:t xml:space="preserve">: frequentemente os historiadores traduzem esse termo pelo plural masculino, “os atenienses”, ou até mesmo pela fórmula “os cidadãos de Atenas”. Ora, os contextos gregos em que </w:t>
      </w:r>
      <w:proofErr w:type="spellStart"/>
      <w:r>
        <w:rPr>
          <w:rFonts w:ascii="Times New Roman" w:eastAsia="Times New Roman" w:hAnsi="Times New Roman" w:cs="Times New Roman"/>
          <w:i/>
          <w:sz w:val="24"/>
          <w:szCs w:val="24"/>
          <w:highlight w:val="white"/>
        </w:rPr>
        <w:t>Athenaioi</w:t>
      </w:r>
      <w:proofErr w:type="spellEnd"/>
      <w:r>
        <w:rPr>
          <w:rFonts w:ascii="Times New Roman" w:eastAsia="Times New Roman" w:hAnsi="Times New Roman" w:cs="Times New Roman"/>
          <w:sz w:val="24"/>
          <w:szCs w:val="24"/>
          <w:highlight w:val="white"/>
        </w:rPr>
        <w:t xml:space="preserve"> ocorre nos permitem saber que, não raro, a palavra designa um grupo de homens e mulheres livres que habita a cidade. O masculino-neutro que apaga a presença das mulheres muitas vezes levou a pensar que a comunidade da cidade (polis), a comunidade política, concernia apenas, do ponto de vista grego, aos homens. Além disso, a noção contemporânea de cidadania foi construída no período moderno, em um contexto revolucionário amplamente inspirado pelos textos teóricos e políticos de filósofos, historiadores e moralistas gregos (como Aristóteles, Tucídides, Plutarco). Em suas reflexões, eles se interessavam pouco pelas mulheres e, quando era o caso, o faziam para engrandecer o papel esperado daquelas que deviam ajudar seus esposos e seus filhos a se dedicarem à política e à defesa da cidade natal.</w:t>
      </w:r>
    </w:p>
    <w:p w14:paraId="23FB01D3" w14:textId="77777777" w:rsidR="006E483D" w:rsidRDefault="006E483D" w:rsidP="006E483D">
      <w:pPr>
        <w:spacing w:line="360" w:lineRule="auto"/>
        <w:jc w:val="both"/>
        <w:rPr>
          <w:rFonts w:ascii="Times New Roman" w:eastAsia="Times New Roman" w:hAnsi="Times New Roman" w:cs="Times New Roman"/>
          <w:sz w:val="24"/>
          <w:szCs w:val="24"/>
          <w:highlight w:val="white"/>
        </w:rPr>
      </w:pPr>
    </w:p>
    <w:p w14:paraId="6F81BF76"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Foram necessários os trabalhos desenvolvidos por historiadoras, no século XX, para que se colocasse a questão da participação das mulheres livres das cidades na vida coletiva (1). Duas conclusões foram obtidas:</w:t>
      </w:r>
    </w:p>
    <w:p w14:paraId="5F9AFA77"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A cidadania, na Grécia antiga, é uma cidadania de participação que põe no mesmo plano todos os atos da vida coletiva e, sobretudo, a vida religiosa.</w:t>
      </w:r>
    </w:p>
    <w:p w14:paraId="578796F3"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2/ As mulheres livres, nascidas e reconhecidas como filhas em uma família de cidadãos, são designadas como atenienses (no feminino), cidadãs (sg. </w:t>
      </w:r>
      <w:proofErr w:type="spellStart"/>
      <w:r>
        <w:rPr>
          <w:rFonts w:ascii="Times New Roman" w:eastAsia="Times New Roman" w:hAnsi="Times New Roman" w:cs="Times New Roman"/>
          <w:i/>
          <w:sz w:val="24"/>
          <w:szCs w:val="24"/>
          <w:highlight w:val="white"/>
        </w:rPr>
        <w:t>politis</w:t>
      </w:r>
      <w:proofErr w:type="spellEnd"/>
      <w:r>
        <w:rPr>
          <w:rFonts w:ascii="Times New Roman" w:eastAsia="Times New Roman" w:hAnsi="Times New Roman" w:cs="Times New Roman"/>
          <w:sz w:val="24"/>
          <w:szCs w:val="24"/>
          <w:highlight w:val="white"/>
        </w:rPr>
        <w:t xml:space="preserve">; pl. </w:t>
      </w:r>
      <w:proofErr w:type="spellStart"/>
      <w:r>
        <w:rPr>
          <w:rFonts w:ascii="Times New Roman" w:eastAsia="Times New Roman" w:hAnsi="Times New Roman" w:cs="Times New Roman"/>
          <w:i/>
          <w:sz w:val="24"/>
          <w:szCs w:val="24"/>
          <w:highlight w:val="white"/>
        </w:rPr>
        <w:t>politides</w:t>
      </w:r>
      <w:proofErr w:type="spellEnd"/>
      <w:r>
        <w:rPr>
          <w:rFonts w:ascii="Times New Roman" w:eastAsia="Times New Roman" w:hAnsi="Times New Roman" w:cs="Times New Roman"/>
          <w:sz w:val="24"/>
          <w:szCs w:val="24"/>
          <w:highlight w:val="white"/>
        </w:rPr>
        <w:t>) e submetidas às mesmas injunções comportamentais que os cidadãos: respeitar as normas da cidade. Evidentemente, a exclusão do voto e das assembleias deliberativas diferencia as cidadãs dos cidadãos. No entanto, como os Gregos não definem a cidadania unicamente pelo direito ao voto, seria anacrônico deduzir daí que elas não são cidadãs.</w:t>
      </w:r>
    </w:p>
    <w:p w14:paraId="07B6BB74" w14:textId="77777777" w:rsidR="006E483D" w:rsidRDefault="006E483D" w:rsidP="006E483D">
      <w:pPr>
        <w:spacing w:line="360" w:lineRule="auto"/>
        <w:jc w:val="both"/>
        <w:rPr>
          <w:rFonts w:ascii="Times New Roman" w:eastAsia="Times New Roman" w:hAnsi="Times New Roman" w:cs="Times New Roman"/>
          <w:sz w:val="24"/>
          <w:szCs w:val="24"/>
          <w:highlight w:val="white"/>
        </w:rPr>
      </w:pPr>
    </w:p>
    <w:p w14:paraId="0841F616"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Nota:</w:t>
      </w:r>
    </w:p>
    <w:p w14:paraId="658A4C28"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(1) Para uma síntese recente dos debates, ver </w:t>
      </w:r>
      <w:proofErr w:type="spellStart"/>
      <w:r>
        <w:rPr>
          <w:rFonts w:ascii="Times New Roman" w:eastAsia="Times New Roman" w:hAnsi="Times New Roman" w:cs="Times New Roman"/>
          <w:sz w:val="24"/>
          <w:szCs w:val="24"/>
          <w:highlight w:val="white"/>
        </w:rPr>
        <w:t>Sebillotte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Cuchet</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Violaine</w:t>
      </w:r>
      <w:proofErr w:type="spellEnd"/>
      <w:r>
        <w:rPr>
          <w:rFonts w:ascii="Times New Roman" w:eastAsia="Times New Roman" w:hAnsi="Times New Roman" w:cs="Times New Roman"/>
          <w:sz w:val="24"/>
          <w:szCs w:val="24"/>
          <w:highlight w:val="white"/>
        </w:rPr>
        <w:t>, “</w:t>
      </w:r>
      <w:proofErr w:type="spellStart"/>
      <w:r>
        <w:rPr>
          <w:rFonts w:ascii="Times New Roman" w:eastAsia="Times New Roman" w:hAnsi="Times New Roman" w:cs="Times New Roman"/>
          <w:sz w:val="24"/>
          <w:szCs w:val="24"/>
          <w:highlight w:val="white"/>
        </w:rPr>
        <w:t>Ces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citoyennes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qui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reconfigurent</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le</w:t>
      </w:r>
      <w:proofErr w:type="spellEnd"/>
      <w:r>
        <w:rPr>
          <w:rFonts w:ascii="Times New Roman" w:eastAsia="Times New Roman" w:hAnsi="Times New Roman" w:cs="Times New Roman"/>
          <w:sz w:val="24"/>
          <w:szCs w:val="24"/>
          <w:highlight w:val="white"/>
        </w:rPr>
        <w:t xml:space="preserve"> politique. </w:t>
      </w:r>
      <w:proofErr w:type="spellStart"/>
      <w:r>
        <w:rPr>
          <w:rFonts w:ascii="Times New Roman" w:eastAsia="Times New Roman" w:hAnsi="Times New Roman" w:cs="Times New Roman"/>
          <w:sz w:val="24"/>
          <w:szCs w:val="24"/>
          <w:highlight w:val="white"/>
        </w:rPr>
        <w:t>Trente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ans</w:t>
      </w:r>
      <w:proofErr w:type="spellEnd"/>
      <w:r>
        <w:rPr>
          <w:rFonts w:ascii="Times New Roman" w:eastAsia="Times New Roman" w:hAnsi="Times New Roman" w:cs="Times New Roman"/>
          <w:sz w:val="24"/>
          <w:szCs w:val="24"/>
          <w:highlight w:val="white"/>
        </w:rPr>
        <w:t xml:space="preserve"> de </w:t>
      </w:r>
      <w:proofErr w:type="spellStart"/>
      <w:r>
        <w:rPr>
          <w:rFonts w:ascii="Times New Roman" w:eastAsia="Times New Roman" w:hAnsi="Times New Roman" w:cs="Times New Roman"/>
          <w:sz w:val="24"/>
          <w:szCs w:val="24"/>
          <w:highlight w:val="white"/>
        </w:rPr>
        <w:t>travaux</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sur</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l’Antiquité</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grecque</w:t>
      </w:r>
      <w:proofErr w:type="spellEnd"/>
      <w:r>
        <w:rPr>
          <w:rFonts w:ascii="Times New Roman" w:eastAsia="Times New Roman" w:hAnsi="Times New Roman" w:cs="Times New Roman"/>
          <w:sz w:val="24"/>
          <w:szCs w:val="24"/>
          <w:highlight w:val="white"/>
        </w:rPr>
        <w:t xml:space="preserve">,” Clio FGH, 43, 2016, p. 185-215.” </w:t>
      </w:r>
    </w:p>
    <w:p w14:paraId="05989425" w14:textId="77777777" w:rsidR="006E483D" w:rsidRDefault="006E483D" w:rsidP="006E483D">
      <w:pPr>
        <w:spacing w:line="360" w:lineRule="auto"/>
        <w:jc w:val="both"/>
        <w:rPr>
          <w:rFonts w:ascii="Times New Roman" w:eastAsia="Times New Roman" w:hAnsi="Times New Roman" w:cs="Times New Roman"/>
          <w:sz w:val="24"/>
          <w:szCs w:val="24"/>
          <w:highlight w:val="white"/>
        </w:rPr>
      </w:pPr>
    </w:p>
    <w:p w14:paraId="4977FB59" w14:textId="77777777" w:rsidR="006E483D" w:rsidRDefault="006E483D" w:rsidP="006E483D">
      <w:pPr>
        <w:spacing w:line="360" w:lineRule="auto"/>
        <w:jc w:val="both"/>
        <w:rPr>
          <w:rFonts w:ascii="Times New Roman" w:eastAsia="Times New Roman" w:hAnsi="Times New Roman" w:cs="Times New Roman"/>
          <w:sz w:val="24"/>
          <w:szCs w:val="24"/>
          <w:highlight w:val="white"/>
          <w:lang w:val="en-US"/>
        </w:rPr>
      </w:pPr>
      <w:r>
        <w:rPr>
          <w:rFonts w:ascii="Times New Roman" w:eastAsia="Times New Roman" w:hAnsi="Times New Roman" w:cs="Times New Roman"/>
          <w:sz w:val="24"/>
          <w:szCs w:val="24"/>
          <w:highlight w:val="white"/>
        </w:rPr>
        <w:t xml:space="preserve">Texto 3 - O feminino de cidadão existe! </w:t>
      </w:r>
      <w:r>
        <w:rPr>
          <w:rFonts w:ascii="Times New Roman" w:eastAsia="Times New Roman" w:hAnsi="Times New Roman" w:cs="Times New Roman"/>
          <w:sz w:val="24"/>
          <w:szCs w:val="24"/>
          <w:highlight w:val="white"/>
          <w:lang w:val="en-US"/>
        </w:rPr>
        <w:t xml:space="preserve">Por </w:t>
      </w:r>
      <w:proofErr w:type="spellStart"/>
      <w:r>
        <w:rPr>
          <w:rFonts w:ascii="Times New Roman" w:eastAsia="Times New Roman" w:hAnsi="Times New Roman" w:cs="Times New Roman"/>
          <w:sz w:val="24"/>
          <w:szCs w:val="24"/>
          <w:highlight w:val="white"/>
          <w:lang w:val="en-US"/>
        </w:rPr>
        <w:t>Guicharrouse</w:t>
      </w:r>
      <w:proofErr w:type="spellEnd"/>
      <w:r>
        <w:rPr>
          <w:rFonts w:ascii="Times New Roman" w:eastAsia="Times New Roman" w:hAnsi="Times New Roman" w:cs="Times New Roman"/>
          <w:sz w:val="24"/>
          <w:szCs w:val="24"/>
          <w:highlight w:val="white"/>
          <w:lang w:val="en-US"/>
        </w:rPr>
        <w:t xml:space="preserve">, Romain; </w:t>
      </w:r>
      <w:proofErr w:type="spellStart"/>
      <w:r>
        <w:rPr>
          <w:rFonts w:ascii="Times New Roman" w:eastAsia="Times New Roman" w:hAnsi="Times New Roman" w:cs="Times New Roman"/>
          <w:sz w:val="24"/>
          <w:szCs w:val="24"/>
          <w:highlight w:val="white"/>
          <w:lang w:val="en-US"/>
        </w:rPr>
        <w:t>Sebillotte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Cuchet</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Violaine</w:t>
      </w:r>
      <w:proofErr w:type="spellEnd"/>
      <w:r>
        <w:rPr>
          <w:rFonts w:ascii="Times New Roman" w:eastAsia="Times New Roman" w:hAnsi="Times New Roman" w:cs="Times New Roman"/>
          <w:sz w:val="24"/>
          <w:szCs w:val="24"/>
          <w:highlight w:val="white"/>
          <w:lang w:val="en-US"/>
        </w:rPr>
        <w:t>.</w:t>
      </w:r>
    </w:p>
    <w:p w14:paraId="1AF2701C"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“Quando alguns oradores questionam a cidadania de uma mulher, eles empregam o termo </w:t>
      </w:r>
      <w:proofErr w:type="spellStart"/>
      <w:r>
        <w:rPr>
          <w:rFonts w:ascii="Times New Roman" w:eastAsia="Times New Roman" w:hAnsi="Times New Roman" w:cs="Times New Roman"/>
          <w:i/>
          <w:sz w:val="24"/>
          <w:szCs w:val="24"/>
          <w:highlight w:val="white"/>
        </w:rPr>
        <w:t>politis</w:t>
      </w:r>
      <w:proofErr w:type="spellEnd"/>
      <w:r>
        <w:rPr>
          <w:rFonts w:ascii="Times New Roman" w:eastAsia="Times New Roman" w:hAnsi="Times New Roman" w:cs="Times New Roman"/>
          <w:sz w:val="24"/>
          <w:szCs w:val="24"/>
          <w:highlight w:val="white"/>
        </w:rPr>
        <w:t xml:space="preserve">, que é o feminino de </w:t>
      </w:r>
      <w:proofErr w:type="spellStart"/>
      <w:r>
        <w:rPr>
          <w:rFonts w:ascii="Times New Roman" w:eastAsia="Times New Roman" w:hAnsi="Times New Roman" w:cs="Times New Roman"/>
          <w:sz w:val="24"/>
          <w:szCs w:val="24"/>
          <w:highlight w:val="white"/>
        </w:rPr>
        <w:t>polites</w:t>
      </w:r>
      <w:proofErr w:type="spellEnd"/>
      <w:r>
        <w:rPr>
          <w:rFonts w:ascii="Times New Roman" w:eastAsia="Times New Roman" w:hAnsi="Times New Roman" w:cs="Times New Roman"/>
          <w:sz w:val="24"/>
          <w:szCs w:val="24"/>
          <w:highlight w:val="white"/>
        </w:rPr>
        <w:t xml:space="preserve">, sempre traduzido por “cidadão”. No discurso sobre a Herança de </w:t>
      </w:r>
      <w:proofErr w:type="spellStart"/>
      <w:r>
        <w:rPr>
          <w:rFonts w:ascii="Times New Roman" w:eastAsia="Times New Roman" w:hAnsi="Times New Roman" w:cs="Times New Roman"/>
          <w:sz w:val="24"/>
          <w:szCs w:val="24"/>
          <w:highlight w:val="white"/>
        </w:rPr>
        <w:t>Ciron</w:t>
      </w:r>
      <w:proofErr w:type="spellEnd"/>
      <w:r>
        <w:rPr>
          <w:rFonts w:ascii="Times New Roman" w:eastAsia="Times New Roman" w:hAnsi="Times New Roman" w:cs="Times New Roman"/>
          <w:sz w:val="24"/>
          <w:szCs w:val="24"/>
          <w:highlight w:val="white"/>
        </w:rPr>
        <w:t xml:space="preserve">, conservado no corpus de discursos de </w:t>
      </w:r>
      <w:proofErr w:type="spellStart"/>
      <w:r>
        <w:rPr>
          <w:rFonts w:ascii="Times New Roman" w:eastAsia="Times New Roman" w:hAnsi="Times New Roman" w:cs="Times New Roman"/>
          <w:sz w:val="24"/>
          <w:szCs w:val="24"/>
          <w:highlight w:val="white"/>
        </w:rPr>
        <w:t>Iseu</w:t>
      </w:r>
      <w:proofErr w:type="spellEnd"/>
      <w:r>
        <w:rPr>
          <w:rFonts w:ascii="Times New Roman" w:eastAsia="Times New Roman" w:hAnsi="Times New Roman" w:cs="Times New Roman"/>
          <w:sz w:val="24"/>
          <w:szCs w:val="24"/>
          <w:highlight w:val="white"/>
        </w:rPr>
        <w:t>, o litigante do discurso se defende: “Se estas mentiras fazem vocês acreditarem que nossa mãe não era cidadã (π</w:t>
      </w:r>
      <w:proofErr w:type="spellStart"/>
      <w:r>
        <w:rPr>
          <w:rFonts w:ascii="Times New Roman" w:eastAsia="Times New Roman" w:hAnsi="Times New Roman" w:cs="Times New Roman"/>
          <w:sz w:val="24"/>
          <w:szCs w:val="24"/>
          <w:highlight w:val="white"/>
        </w:rPr>
        <w:t>ολῖτις</w:t>
      </w:r>
      <w:proofErr w:type="spellEnd"/>
      <w:r>
        <w:rPr>
          <w:rFonts w:ascii="Times New Roman" w:eastAsia="Times New Roman" w:hAnsi="Times New Roman" w:cs="Times New Roman"/>
          <w:sz w:val="24"/>
          <w:szCs w:val="24"/>
          <w:highlight w:val="white"/>
        </w:rPr>
        <w:t xml:space="preserve">), nós também não o somos”. O litigante do discurso pronunciado contra </w:t>
      </w:r>
      <w:proofErr w:type="spellStart"/>
      <w:r>
        <w:rPr>
          <w:rFonts w:ascii="Times New Roman" w:eastAsia="Times New Roman" w:hAnsi="Times New Roman" w:cs="Times New Roman"/>
          <w:sz w:val="24"/>
          <w:szCs w:val="24"/>
          <w:highlight w:val="white"/>
        </w:rPr>
        <w:t>Eubulides</w:t>
      </w:r>
      <w:proofErr w:type="spellEnd"/>
      <w:r>
        <w:rPr>
          <w:rFonts w:ascii="Times New Roman" w:eastAsia="Times New Roman" w:hAnsi="Times New Roman" w:cs="Times New Roman"/>
          <w:sz w:val="24"/>
          <w:szCs w:val="24"/>
          <w:highlight w:val="white"/>
        </w:rPr>
        <w:t xml:space="preserve"> também explica: “Além do mais, atenienses, é evidente que meu pai não foi seu primeiro marido, mas, sim, </w:t>
      </w:r>
      <w:proofErr w:type="spellStart"/>
      <w:r>
        <w:rPr>
          <w:rFonts w:ascii="Times New Roman" w:eastAsia="Times New Roman" w:hAnsi="Times New Roman" w:cs="Times New Roman"/>
          <w:sz w:val="24"/>
          <w:szCs w:val="24"/>
          <w:highlight w:val="white"/>
        </w:rPr>
        <w:t>Protômaco</w:t>
      </w:r>
      <w:proofErr w:type="spellEnd"/>
      <w:r>
        <w:rPr>
          <w:rFonts w:ascii="Times New Roman" w:eastAsia="Times New Roman" w:hAnsi="Times New Roman" w:cs="Times New Roman"/>
          <w:sz w:val="24"/>
          <w:szCs w:val="24"/>
          <w:highlight w:val="white"/>
        </w:rPr>
        <w:t>, que dela teve filhos, inclusive uma filha dada em casamento. Ainda que ele esteja morto, seus atos testemunham que minha mãe era ateniense e cidadã (</w:t>
      </w:r>
      <w:proofErr w:type="spellStart"/>
      <w:r>
        <w:rPr>
          <w:rFonts w:ascii="Times New Roman" w:eastAsia="Times New Roman" w:hAnsi="Times New Roman" w:cs="Times New Roman"/>
          <w:i/>
          <w:sz w:val="24"/>
          <w:szCs w:val="24"/>
          <w:highlight w:val="white"/>
        </w:rPr>
        <w:t>politis</w:t>
      </w:r>
      <w:proofErr w:type="spellEnd"/>
      <w:r>
        <w:rPr>
          <w:rFonts w:ascii="Times New Roman" w:eastAsia="Times New Roman" w:hAnsi="Times New Roman" w:cs="Times New Roman"/>
          <w:sz w:val="24"/>
          <w:szCs w:val="24"/>
          <w:highlight w:val="white"/>
        </w:rPr>
        <w:t xml:space="preserve">).” </w:t>
      </w:r>
    </w:p>
    <w:p w14:paraId="61C38F6D"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(Demóstenes [57], </w:t>
      </w:r>
      <w:r>
        <w:rPr>
          <w:rFonts w:ascii="Times New Roman" w:eastAsia="Times New Roman" w:hAnsi="Times New Roman" w:cs="Times New Roman"/>
          <w:i/>
          <w:sz w:val="24"/>
          <w:szCs w:val="24"/>
          <w:highlight w:val="white"/>
        </w:rPr>
        <w:t xml:space="preserve">Contra </w:t>
      </w:r>
      <w:proofErr w:type="spellStart"/>
      <w:r>
        <w:rPr>
          <w:rFonts w:ascii="Times New Roman" w:eastAsia="Times New Roman" w:hAnsi="Times New Roman" w:cs="Times New Roman"/>
          <w:i/>
          <w:sz w:val="24"/>
          <w:szCs w:val="24"/>
          <w:highlight w:val="white"/>
        </w:rPr>
        <w:t>Eubulides</w:t>
      </w:r>
      <w:proofErr w:type="spellEnd"/>
      <w:r>
        <w:rPr>
          <w:rFonts w:ascii="Times New Roman" w:eastAsia="Times New Roman" w:hAnsi="Times New Roman" w:cs="Times New Roman"/>
          <w:sz w:val="24"/>
          <w:szCs w:val="24"/>
          <w:highlight w:val="white"/>
        </w:rPr>
        <w:t>, 43). A palavra também aparece nas Leis de Platão, quando o ateniense explica: “Estabeleçamos, então, esta lei (</w:t>
      </w:r>
      <w:proofErr w:type="spellStart"/>
      <w:r>
        <w:rPr>
          <w:rFonts w:ascii="Times New Roman" w:eastAsia="Times New Roman" w:hAnsi="Times New Roman" w:cs="Times New Roman"/>
          <w:i/>
          <w:sz w:val="24"/>
          <w:szCs w:val="24"/>
          <w:highlight w:val="white"/>
        </w:rPr>
        <w:t>nomos</w:t>
      </w:r>
      <w:proofErr w:type="spellEnd"/>
      <w:r>
        <w:rPr>
          <w:rFonts w:ascii="Times New Roman" w:eastAsia="Times New Roman" w:hAnsi="Times New Roman" w:cs="Times New Roman"/>
          <w:sz w:val="24"/>
          <w:szCs w:val="24"/>
          <w:highlight w:val="white"/>
        </w:rPr>
        <w:t>) que as mulheres (</w:t>
      </w:r>
      <w:proofErr w:type="spellStart"/>
      <w:r>
        <w:rPr>
          <w:rFonts w:ascii="Times New Roman" w:eastAsia="Times New Roman" w:hAnsi="Times New Roman" w:cs="Times New Roman"/>
          <w:i/>
          <w:sz w:val="24"/>
          <w:szCs w:val="24"/>
          <w:highlight w:val="white"/>
        </w:rPr>
        <w:t>gynaikes</w:t>
      </w:r>
      <w:proofErr w:type="spellEnd"/>
      <w:r>
        <w:rPr>
          <w:rFonts w:ascii="Times New Roman" w:eastAsia="Times New Roman" w:hAnsi="Times New Roman" w:cs="Times New Roman"/>
          <w:sz w:val="24"/>
          <w:szCs w:val="24"/>
          <w:highlight w:val="white"/>
        </w:rPr>
        <w:t xml:space="preserve">) não devem negligenciar tanto os exercícios militares e que todos, cidadãos e cidadãs – </w:t>
      </w:r>
      <w:proofErr w:type="spellStart"/>
      <w:r>
        <w:rPr>
          <w:rFonts w:ascii="Times New Roman" w:eastAsia="Times New Roman" w:hAnsi="Times New Roman" w:cs="Times New Roman"/>
          <w:sz w:val="24"/>
          <w:szCs w:val="24"/>
          <w:highlight w:val="white"/>
        </w:rPr>
        <w:t>τοὺς</w:t>
      </w:r>
      <w:proofErr w:type="spellEnd"/>
      <w:r>
        <w:rPr>
          <w:rFonts w:ascii="Times New Roman" w:eastAsia="Times New Roman" w:hAnsi="Times New Roman" w:cs="Times New Roman"/>
          <w:sz w:val="24"/>
          <w:szCs w:val="24"/>
          <w:highlight w:val="white"/>
        </w:rPr>
        <w:t xml:space="preserve"> π</w:t>
      </w:r>
      <w:proofErr w:type="spellStart"/>
      <w:r>
        <w:rPr>
          <w:rFonts w:ascii="Times New Roman" w:eastAsia="Times New Roman" w:hAnsi="Times New Roman" w:cs="Times New Roman"/>
          <w:sz w:val="24"/>
          <w:szCs w:val="24"/>
          <w:highlight w:val="white"/>
        </w:rPr>
        <w:t>ολίτ</w:t>
      </w:r>
      <w:proofErr w:type="spellEnd"/>
      <w:r>
        <w:rPr>
          <w:rFonts w:ascii="Times New Roman" w:eastAsia="Times New Roman" w:hAnsi="Times New Roman" w:cs="Times New Roman"/>
          <w:sz w:val="24"/>
          <w:szCs w:val="24"/>
          <w:highlight w:val="white"/>
        </w:rPr>
        <w:t xml:space="preserve">ας καὶ </w:t>
      </w:r>
      <w:proofErr w:type="spellStart"/>
      <w:r>
        <w:rPr>
          <w:rFonts w:ascii="Times New Roman" w:eastAsia="Times New Roman" w:hAnsi="Times New Roman" w:cs="Times New Roman"/>
          <w:sz w:val="24"/>
          <w:szCs w:val="24"/>
          <w:highlight w:val="white"/>
        </w:rPr>
        <w:t>τὰς</w:t>
      </w:r>
      <w:proofErr w:type="spellEnd"/>
      <w:r>
        <w:rPr>
          <w:rFonts w:ascii="Times New Roman" w:eastAsia="Times New Roman" w:hAnsi="Times New Roman" w:cs="Times New Roman"/>
          <w:sz w:val="24"/>
          <w:szCs w:val="24"/>
          <w:highlight w:val="white"/>
        </w:rPr>
        <w:t xml:space="preserve"> π</w:t>
      </w:r>
      <w:proofErr w:type="spellStart"/>
      <w:r>
        <w:rPr>
          <w:rFonts w:ascii="Times New Roman" w:eastAsia="Times New Roman" w:hAnsi="Times New Roman" w:cs="Times New Roman"/>
          <w:sz w:val="24"/>
          <w:szCs w:val="24"/>
          <w:highlight w:val="white"/>
        </w:rPr>
        <w:t>ολίτιδ</w:t>
      </w:r>
      <w:proofErr w:type="spellEnd"/>
      <w:r>
        <w:rPr>
          <w:rFonts w:ascii="Times New Roman" w:eastAsia="Times New Roman" w:hAnsi="Times New Roman" w:cs="Times New Roman"/>
          <w:sz w:val="24"/>
          <w:szCs w:val="24"/>
          <w:highlight w:val="white"/>
        </w:rPr>
        <w:t>ας –, devem se ocupar deles” (</w:t>
      </w:r>
      <w:r>
        <w:rPr>
          <w:rFonts w:ascii="Times New Roman" w:eastAsia="Times New Roman" w:hAnsi="Times New Roman" w:cs="Times New Roman"/>
          <w:i/>
          <w:sz w:val="24"/>
          <w:szCs w:val="24"/>
          <w:highlight w:val="white"/>
        </w:rPr>
        <w:t>Leis</w:t>
      </w:r>
      <w:r>
        <w:rPr>
          <w:rFonts w:ascii="Times New Roman" w:eastAsia="Times New Roman" w:hAnsi="Times New Roman" w:cs="Times New Roman"/>
          <w:sz w:val="24"/>
          <w:szCs w:val="24"/>
          <w:highlight w:val="white"/>
        </w:rPr>
        <w:t xml:space="preserve"> 814c). Aristóteles lembra que “na prática”, as cidades gregas definem como cidadão um indivíduo “nascido de dois pais cidadãos (</w:t>
      </w:r>
      <w:proofErr w:type="spellStart"/>
      <w:r>
        <w:rPr>
          <w:rFonts w:ascii="Times New Roman" w:eastAsia="Times New Roman" w:hAnsi="Times New Roman" w:cs="Times New Roman"/>
          <w:i/>
          <w:sz w:val="24"/>
          <w:szCs w:val="24"/>
          <w:highlight w:val="white"/>
        </w:rPr>
        <w:t>politai</w:t>
      </w:r>
      <w:proofErr w:type="spellEnd"/>
      <w:r>
        <w:rPr>
          <w:rFonts w:ascii="Times New Roman" w:eastAsia="Times New Roman" w:hAnsi="Times New Roman" w:cs="Times New Roman"/>
          <w:sz w:val="24"/>
          <w:szCs w:val="24"/>
          <w:highlight w:val="white"/>
        </w:rPr>
        <w:t>), e não só de um, pai ou mãe" (</w:t>
      </w:r>
      <w:r>
        <w:rPr>
          <w:rFonts w:ascii="Times New Roman" w:eastAsia="Times New Roman" w:hAnsi="Times New Roman" w:cs="Times New Roman"/>
          <w:i/>
          <w:sz w:val="24"/>
          <w:szCs w:val="24"/>
          <w:highlight w:val="white"/>
        </w:rPr>
        <w:t>Política</w:t>
      </w:r>
      <w:r>
        <w:rPr>
          <w:rFonts w:ascii="Times New Roman" w:eastAsia="Times New Roman" w:hAnsi="Times New Roman" w:cs="Times New Roman"/>
          <w:sz w:val="24"/>
          <w:szCs w:val="24"/>
          <w:highlight w:val="white"/>
        </w:rPr>
        <w:t xml:space="preserve"> III, 1275b21-22). As mulheres são cidadãs pelo pertencimento às mesmas famílias que os cidadãos, mas, contrariamente a eles, elas não exercem funções deliberativas, judiciárias ou governamentais.” </w:t>
      </w:r>
    </w:p>
    <w:p w14:paraId="26623DB6" w14:textId="77777777" w:rsidR="006E483D" w:rsidRDefault="006E483D" w:rsidP="006E483D">
      <w:pPr>
        <w:spacing w:line="360" w:lineRule="auto"/>
        <w:jc w:val="both"/>
        <w:rPr>
          <w:rFonts w:ascii="Times New Roman" w:eastAsia="Times New Roman" w:hAnsi="Times New Roman" w:cs="Times New Roman"/>
          <w:sz w:val="24"/>
          <w:szCs w:val="24"/>
          <w:highlight w:val="white"/>
        </w:rPr>
      </w:pPr>
    </w:p>
    <w:p w14:paraId="21E64549"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Texto 4 - Privadas de cultura? Por Dana, </w:t>
      </w:r>
      <w:proofErr w:type="spellStart"/>
      <w:r>
        <w:rPr>
          <w:rFonts w:ascii="Times New Roman" w:eastAsia="Times New Roman" w:hAnsi="Times New Roman" w:cs="Times New Roman"/>
          <w:sz w:val="24"/>
          <w:szCs w:val="24"/>
          <w:highlight w:val="white"/>
        </w:rPr>
        <w:t>Madalina</w:t>
      </w:r>
      <w:proofErr w:type="spellEnd"/>
      <w:r>
        <w:rPr>
          <w:rFonts w:ascii="Times New Roman" w:eastAsia="Times New Roman" w:hAnsi="Times New Roman" w:cs="Times New Roman"/>
          <w:sz w:val="24"/>
          <w:szCs w:val="24"/>
          <w:highlight w:val="white"/>
        </w:rPr>
        <w:t>.</w:t>
      </w:r>
    </w:p>
    <w:p w14:paraId="19FCD704"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 imagem estereotipada da mulher grega difundida pelos autores clássicos é a da boa dona de casa, responsável pela boa gestão da casa desde muito nova: com 14 anos, uma jovem podia escrever uma lista de objetos domésticos (Xenofonte, </w:t>
      </w:r>
      <w:r>
        <w:rPr>
          <w:rFonts w:ascii="Times New Roman" w:eastAsia="Times New Roman" w:hAnsi="Times New Roman" w:cs="Times New Roman"/>
          <w:i/>
          <w:sz w:val="24"/>
          <w:szCs w:val="24"/>
          <w:highlight w:val="white"/>
        </w:rPr>
        <w:t>Econômico</w:t>
      </w:r>
      <w:r>
        <w:rPr>
          <w:rFonts w:ascii="Times New Roman" w:eastAsia="Times New Roman" w:hAnsi="Times New Roman" w:cs="Times New Roman"/>
          <w:sz w:val="24"/>
          <w:szCs w:val="24"/>
          <w:highlight w:val="white"/>
        </w:rPr>
        <w:t xml:space="preserve">, IX, 10). Seguindo o mesmo princípio, Teofrasto também aconselha dar às jovens uma educação letrada para que elas pudessem assumir melhor as responsabilidades domésticas. Por outro lado, </w:t>
      </w:r>
      <w:proofErr w:type="spellStart"/>
      <w:r>
        <w:rPr>
          <w:rFonts w:ascii="Times New Roman" w:eastAsia="Times New Roman" w:hAnsi="Times New Roman" w:cs="Times New Roman"/>
          <w:sz w:val="24"/>
          <w:szCs w:val="24"/>
          <w:highlight w:val="white"/>
        </w:rPr>
        <w:t>Menandro</w:t>
      </w:r>
      <w:proofErr w:type="spellEnd"/>
      <w:r>
        <w:rPr>
          <w:rFonts w:ascii="Times New Roman" w:eastAsia="Times New Roman" w:hAnsi="Times New Roman" w:cs="Times New Roman"/>
          <w:sz w:val="24"/>
          <w:szCs w:val="24"/>
          <w:highlight w:val="white"/>
        </w:rPr>
        <w:t xml:space="preserve"> afirma que educar uma mulher é “dar mais veneno a uma serpente” (F 702 </w:t>
      </w:r>
      <w:proofErr w:type="spellStart"/>
      <w:r>
        <w:rPr>
          <w:rFonts w:ascii="Times New Roman" w:eastAsia="Times New Roman" w:hAnsi="Times New Roman" w:cs="Times New Roman"/>
          <w:sz w:val="24"/>
          <w:szCs w:val="24"/>
          <w:highlight w:val="white"/>
        </w:rPr>
        <w:t>Kock</w:t>
      </w:r>
      <w:proofErr w:type="spellEnd"/>
      <w:r>
        <w:rPr>
          <w:rFonts w:ascii="Times New Roman" w:eastAsia="Times New Roman" w:hAnsi="Times New Roman" w:cs="Times New Roman"/>
          <w:sz w:val="24"/>
          <w:szCs w:val="24"/>
          <w:highlight w:val="white"/>
        </w:rPr>
        <w:t>).</w:t>
      </w:r>
    </w:p>
    <w:p w14:paraId="13D17199"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Alguns testemunhos mostram que a própria cidade poderia se encarregar da educação de seus futuros cidadãos, meninos e meninas (até um certo ponto) sem distinção. Assim, no século V a.C., Heródoto relata, em suas </w:t>
      </w:r>
      <w:r>
        <w:rPr>
          <w:rFonts w:ascii="Times New Roman" w:eastAsia="Times New Roman" w:hAnsi="Times New Roman" w:cs="Times New Roman"/>
          <w:sz w:val="24"/>
          <w:szCs w:val="24"/>
          <w:highlight w:val="white"/>
        </w:rPr>
        <w:lastRenderedPageBreak/>
        <w:t xml:space="preserve">Histórias (VI, 27), o desespero dos habitantes de </w:t>
      </w:r>
      <w:proofErr w:type="spellStart"/>
      <w:r>
        <w:rPr>
          <w:rFonts w:ascii="Times New Roman" w:eastAsia="Times New Roman" w:hAnsi="Times New Roman" w:cs="Times New Roman"/>
          <w:sz w:val="24"/>
          <w:szCs w:val="24"/>
          <w:highlight w:val="white"/>
        </w:rPr>
        <w:t>Quios</w:t>
      </w:r>
      <w:proofErr w:type="spellEnd"/>
      <w:r>
        <w:rPr>
          <w:rFonts w:ascii="Times New Roman" w:eastAsia="Times New Roman" w:hAnsi="Times New Roman" w:cs="Times New Roman"/>
          <w:sz w:val="24"/>
          <w:szCs w:val="24"/>
          <w:highlight w:val="white"/>
        </w:rPr>
        <w:t xml:space="preserve"> quando o telhado da escola despencou sobre cento e vinte crianças que lá aprendiam as letras. É preciso notar que o historiador não especifica que se trata de meninos, o que nos faz pensar que a escola era mista. Três séculos mais tarde, uma inscrição em </w:t>
      </w:r>
      <w:proofErr w:type="spellStart"/>
      <w:r>
        <w:rPr>
          <w:rFonts w:ascii="Times New Roman" w:eastAsia="Times New Roman" w:hAnsi="Times New Roman" w:cs="Times New Roman"/>
          <w:sz w:val="24"/>
          <w:szCs w:val="24"/>
          <w:highlight w:val="white"/>
        </w:rPr>
        <w:t>Téos</w:t>
      </w:r>
      <w:proofErr w:type="spellEnd"/>
      <w:r>
        <w:rPr>
          <w:rFonts w:ascii="Times New Roman" w:eastAsia="Times New Roman" w:hAnsi="Times New Roman" w:cs="Times New Roman"/>
          <w:sz w:val="24"/>
          <w:szCs w:val="24"/>
          <w:highlight w:val="white"/>
        </w:rPr>
        <w:t xml:space="preserve"> na Ásia Menor menciona a fundação estabelecida por um cidadão abastado, </w:t>
      </w:r>
      <w:proofErr w:type="spellStart"/>
      <w:r>
        <w:rPr>
          <w:rFonts w:ascii="Times New Roman" w:eastAsia="Times New Roman" w:hAnsi="Times New Roman" w:cs="Times New Roman"/>
          <w:sz w:val="24"/>
          <w:szCs w:val="24"/>
          <w:highlight w:val="white"/>
        </w:rPr>
        <w:t>Politrus</w:t>
      </w:r>
      <w:proofErr w:type="spellEnd"/>
      <w:r>
        <w:rPr>
          <w:rFonts w:ascii="Times New Roman" w:eastAsia="Times New Roman" w:hAnsi="Times New Roman" w:cs="Times New Roman"/>
          <w:sz w:val="24"/>
          <w:szCs w:val="24"/>
          <w:highlight w:val="white"/>
        </w:rPr>
        <w:t>, cujos rendimentos estavam destinados a financiar a educação dos mais jovens, meninos e meninas (</w:t>
      </w:r>
      <w:proofErr w:type="spellStart"/>
      <w:r>
        <w:rPr>
          <w:rFonts w:ascii="Times New Roman" w:eastAsia="Times New Roman" w:hAnsi="Times New Roman" w:cs="Times New Roman"/>
          <w:sz w:val="24"/>
          <w:szCs w:val="24"/>
          <w:highlight w:val="white"/>
        </w:rPr>
        <w:t>Syll</w:t>
      </w:r>
      <w:proofErr w:type="spellEnd"/>
      <w:r>
        <w:rPr>
          <w:rFonts w:ascii="Times New Roman" w:eastAsia="Times New Roman" w:hAnsi="Times New Roman" w:cs="Times New Roman"/>
          <w:sz w:val="24"/>
          <w:szCs w:val="24"/>
          <w:highlight w:val="white"/>
        </w:rPr>
        <w:t xml:space="preserve">. 3, 578). Pinturas em vasos representam jovens alunas aprendendo a ler e escrever, com tabuletas, </w:t>
      </w:r>
      <w:proofErr w:type="spellStart"/>
      <w:r>
        <w:rPr>
          <w:rFonts w:ascii="Times New Roman" w:eastAsia="Times New Roman" w:hAnsi="Times New Roman" w:cs="Times New Roman"/>
          <w:sz w:val="24"/>
          <w:szCs w:val="24"/>
          <w:highlight w:val="white"/>
        </w:rPr>
        <w:t>styli</w:t>
      </w:r>
      <w:proofErr w:type="spellEnd"/>
      <w:r>
        <w:rPr>
          <w:rFonts w:ascii="Times New Roman" w:eastAsia="Times New Roman" w:hAnsi="Times New Roman" w:cs="Times New Roman"/>
          <w:sz w:val="24"/>
          <w:szCs w:val="24"/>
          <w:highlight w:val="white"/>
        </w:rPr>
        <w:t xml:space="preserve"> ou rolos de papiro (1). No fim das contas, a educação das meninas, como a dos meninos, permanece uma questão de meio social. Na ilha de Lesbos, Safo (séc. VI a.C.), nascida de uma família rica e representante da poesia lírica ao lado do poeta Alceu (2), é a própria imagem da mulher de cultura (que hoje em dia chamaríamos de intelectual) (3).</w:t>
      </w:r>
    </w:p>
    <w:p w14:paraId="64FFB673" w14:textId="77777777" w:rsidR="006E483D" w:rsidRDefault="006E483D" w:rsidP="006E483D">
      <w:pPr>
        <w:spacing w:line="360" w:lineRule="auto"/>
        <w:jc w:val="both"/>
        <w:rPr>
          <w:rFonts w:ascii="Times New Roman" w:eastAsia="Times New Roman" w:hAnsi="Times New Roman" w:cs="Times New Roman"/>
          <w:sz w:val="24"/>
          <w:szCs w:val="24"/>
          <w:highlight w:val="white"/>
        </w:rPr>
      </w:pPr>
    </w:p>
    <w:p w14:paraId="410738A3" w14:textId="77777777" w:rsidR="006E483D" w:rsidRDefault="006E483D" w:rsidP="006E483D">
      <w:pPr>
        <w:spacing w:line="360" w:lineRule="auto"/>
        <w:jc w:val="both"/>
        <w:rPr>
          <w:rFonts w:ascii="Times New Roman" w:eastAsia="Times New Roman" w:hAnsi="Times New Roman" w:cs="Times New Roman"/>
          <w:sz w:val="24"/>
          <w:szCs w:val="24"/>
          <w:highlight w:val="white"/>
          <w:lang w:val="en-US"/>
        </w:rPr>
      </w:pPr>
      <w:proofErr w:type="spellStart"/>
      <w:r>
        <w:rPr>
          <w:rFonts w:ascii="Times New Roman" w:eastAsia="Times New Roman" w:hAnsi="Times New Roman" w:cs="Times New Roman"/>
          <w:sz w:val="24"/>
          <w:szCs w:val="24"/>
          <w:highlight w:val="white"/>
          <w:lang w:val="en-US"/>
        </w:rPr>
        <w:t>Notas</w:t>
      </w:r>
      <w:proofErr w:type="spellEnd"/>
      <w:r>
        <w:rPr>
          <w:rFonts w:ascii="Times New Roman" w:eastAsia="Times New Roman" w:hAnsi="Times New Roman" w:cs="Times New Roman"/>
          <w:sz w:val="24"/>
          <w:szCs w:val="24"/>
          <w:highlight w:val="white"/>
          <w:lang w:val="en-US"/>
        </w:rPr>
        <w:t>:</w:t>
      </w:r>
    </w:p>
    <w:p w14:paraId="4D149D68"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lang w:val="en-US"/>
        </w:rPr>
        <w:t xml:space="preserve">(1) Beck, Frederick A.G., Album of Greek Education: The Greeks at School and at Play, Sidney, </w:t>
      </w:r>
      <w:proofErr w:type="spellStart"/>
      <w:r>
        <w:rPr>
          <w:rFonts w:ascii="Times New Roman" w:eastAsia="Times New Roman" w:hAnsi="Times New Roman" w:cs="Times New Roman"/>
          <w:sz w:val="24"/>
          <w:szCs w:val="24"/>
          <w:highlight w:val="white"/>
          <w:lang w:val="en-US"/>
        </w:rPr>
        <w:t>Cheiron</w:t>
      </w:r>
      <w:proofErr w:type="spellEnd"/>
      <w:r>
        <w:rPr>
          <w:rFonts w:ascii="Times New Roman" w:eastAsia="Times New Roman" w:hAnsi="Times New Roman" w:cs="Times New Roman"/>
          <w:sz w:val="24"/>
          <w:szCs w:val="24"/>
          <w:highlight w:val="white"/>
          <w:lang w:val="en-US"/>
        </w:rPr>
        <w:t xml:space="preserve"> Press, 1975; </w:t>
      </w:r>
      <w:proofErr w:type="spellStart"/>
      <w:r>
        <w:rPr>
          <w:rFonts w:ascii="Times New Roman" w:eastAsia="Times New Roman" w:hAnsi="Times New Roman" w:cs="Times New Roman"/>
          <w:sz w:val="24"/>
          <w:szCs w:val="24"/>
          <w:highlight w:val="white"/>
          <w:lang w:val="en-US"/>
        </w:rPr>
        <w:t>sobre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jovens</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mulheres</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ver</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Bielman</w:t>
      </w:r>
      <w:proofErr w:type="spellEnd"/>
      <w:r>
        <w:rPr>
          <w:rFonts w:ascii="Times New Roman" w:eastAsia="Times New Roman" w:hAnsi="Times New Roman" w:cs="Times New Roman"/>
          <w:sz w:val="24"/>
          <w:szCs w:val="24"/>
          <w:highlight w:val="white"/>
          <w:lang w:val="en-US"/>
        </w:rPr>
        <w:t xml:space="preserve">, Anne, “Une </w:t>
      </w:r>
      <w:proofErr w:type="spellStart"/>
      <w:r>
        <w:rPr>
          <w:rFonts w:ascii="Times New Roman" w:eastAsia="Times New Roman" w:hAnsi="Times New Roman" w:cs="Times New Roman"/>
          <w:sz w:val="24"/>
          <w:szCs w:val="24"/>
          <w:highlight w:val="white"/>
          <w:lang w:val="en-US"/>
        </w:rPr>
        <w:t>vertu</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en</w:t>
      </w:r>
      <w:proofErr w:type="spellEnd"/>
      <w:r>
        <w:rPr>
          <w:rFonts w:ascii="Times New Roman" w:eastAsia="Times New Roman" w:hAnsi="Times New Roman" w:cs="Times New Roman"/>
          <w:sz w:val="24"/>
          <w:szCs w:val="24"/>
          <w:highlight w:val="white"/>
          <w:lang w:val="en-US"/>
        </w:rPr>
        <w:t xml:space="preserve"> rouleau </w:t>
      </w:r>
      <w:proofErr w:type="spellStart"/>
      <w:r>
        <w:rPr>
          <w:rFonts w:ascii="Times New Roman" w:eastAsia="Times New Roman" w:hAnsi="Times New Roman" w:cs="Times New Roman"/>
          <w:sz w:val="24"/>
          <w:szCs w:val="24"/>
          <w:highlight w:val="white"/>
          <w:lang w:val="en-US"/>
        </w:rPr>
        <w:t>ou</w:t>
      </w:r>
      <w:proofErr w:type="spellEnd"/>
      <w:r>
        <w:rPr>
          <w:rFonts w:ascii="Times New Roman" w:eastAsia="Times New Roman" w:hAnsi="Times New Roman" w:cs="Times New Roman"/>
          <w:sz w:val="24"/>
          <w:szCs w:val="24"/>
          <w:highlight w:val="white"/>
          <w:lang w:val="en-US"/>
        </w:rPr>
        <w:t xml:space="preserve"> comment la </w:t>
      </w:r>
      <w:proofErr w:type="spellStart"/>
      <w:r>
        <w:rPr>
          <w:rFonts w:ascii="Times New Roman" w:eastAsia="Times New Roman" w:hAnsi="Times New Roman" w:cs="Times New Roman"/>
          <w:sz w:val="24"/>
          <w:szCs w:val="24"/>
          <w:highlight w:val="white"/>
          <w:lang w:val="en-US"/>
        </w:rPr>
        <w:t>sagesse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vint</w:t>
      </w:r>
      <w:proofErr w:type="spellEnd"/>
      <w:r>
        <w:rPr>
          <w:rFonts w:ascii="Times New Roman" w:eastAsia="Times New Roman" w:hAnsi="Times New Roman" w:cs="Times New Roman"/>
          <w:sz w:val="24"/>
          <w:szCs w:val="24"/>
          <w:highlight w:val="white"/>
          <w:lang w:val="en-US"/>
        </w:rPr>
        <w:t xml:space="preserve"> aux Grecques”, in Regula Frei-</w:t>
      </w:r>
      <w:proofErr w:type="spellStart"/>
      <w:r>
        <w:rPr>
          <w:rFonts w:ascii="Times New Roman" w:eastAsia="Times New Roman" w:hAnsi="Times New Roman" w:cs="Times New Roman"/>
          <w:sz w:val="24"/>
          <w:szCs w:val="24"/>
          <w:highlight w:val="white"/>
          <w:lang w:val="en-US"/>
        </w:rPr>
        <w:t>Stolba</w:t>
      </w:r>
      <w:proofErr w:type="spellEnd"/>
      <w:r>
        <w:rPr>
          <w:rFonts w:ascii="Times New Roman" w:eastAsia="Times New Roman" w:hAnsi="Times New Roman" w:cs="Times New Roman"/>
          <w:sz w:val="24"/>
          <w:szCs w:val="24"/>
          <w:highlight w:val="white"/>
          <w:lang w:val="en-US"/>
        </w:rPr>
        <w:t xml:space="preserve">, Anne </w:t>
      </w:r>
      <w:proofErr w:type="spellStart"/>
      <w:r>
        <w:rPr>
          <w:rFonts w:ascii="Times New Roman" w:eastAsia="Times New Roman" w:hAnsi="Times New Roman" w:cs="Times New Roman"/>
          <w:sz w:val="24"/>
          <w:szCs w:val="24"/>
          <w:highlight w:val="white"/>
          <w:lang w:val="en-US"/>
        </w:rPr>
        <w:t>Bielman</w:t>
      </w:r>
      <w:proofErr w:type="spellEnd"/>
      <w:r>
        <w:rPr>
          <w:rFonts w:ascii="Times New Roman" w:eastAsia="Times New Roman" w:hAnsi="Times New Roman" w:cs="Times New Roman"/>
          <w:sz w:val="24"/>
          <w:szCs w:val="24"/>
          <w:highlight w:val="white"/>
          <w:lang w:val="en-US"/>
        </w:rPr>
        <w:t xml:space="preserve">, Olivier Bianchi (eds.), Les femmes antiques entre </w:t>
      </w:r>
      <w:proofErr w:type="spellStart"/>
      <w:r>
        <w:rPr>
          <w:rFonts w:ascii="Times New Roman" w:eastAsia="Times New Roman" w:hAnsi="Times New Roman" w:cs="Times New Roman"/>
          <w:sz w:val="24"/>
          <w:szCs w:val="24"/>
          <w:highlight w:val="white"/>
          <w:lang w:val="en-US"/>
        </w:rPr>
        <w:t>sphère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privée</w:t>
      </w:r>
      <w:proofErr w:type="spellEnd"/>
      <w:r>
        <w:rPr>
          <w:rFonts w:ascii="Times New Roman" w:eastAsia="Times New Roman" w:hAnsi="Times New Roman" w:cs="Times New Roman"/>
          <w:sz w:val="24"/>
          <w:szCs w:val="24"/>
          <w:highlight w:val="white"/>
          <w:lang w:val="en-US"/>
        </w:rPr>
        <w:t xml:space="preserve"> et </w:t>
      </w:r>
      <w:proofErr w:type="spellStart"/>
      <w:r>
        <w:rPr>
          <w:rFonts w:ascii="Times New Roman" w:eastAsia="Times New Roman" w:hAnsi="Times New Roman" w:cs="Times New Roman"/>
          <w:sz w:val="24"/>
          <w:szCs w:val="24"/>
          <w:highlight w:val="white"/>
          <w:lang w:val="en-US"/>
        </w:rPr>
        <w:t>sphère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lang w:val="en-US"/>
        </w:rPr>
        <w:t>publique</w:t>
      </w:r>
      <w:proofErr w:type="spellEnd"/>
      <w:r>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rPr>
        <w:t>Actes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du</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Diplôme</w:t>
      </w:r>
      <w:proofErr w:type="spellEnd"/>
      <w:r>
        <w:rPr>
          <w:rFonts w:ascii="Times New Roman" w:eastAsia="Times New Roman" w:hAnsi="Times New Roman" w:cs="Times New Roman"/>
          <w:sz w:val="24"/>
          <w:szCs w:val="24"/>
          <w:highlight w:val="white"/>
        </w:rPr>
        <w:t xml:space="preserve"> d’</w:t>
      </w:r>
      <w:proofErr w:type="spellStart"/>
      <w:r>
        <w:rPr>
          <w:rFonts w:ascii="Times New Roman" w:eastAsia="Times New Roman" w:hAnsi="Times New Roman" w:cs="Times New Roman"/>
          <w:sz w:val="24"/>
          <w:szCs w:val="24"/>
          <w:highlight w:val="white"/>
        </w:rPr>
        <w:t>Études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Avancées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Universités</w:t>
      </w:r>
      <w:proofErr w:type="spellEnd"/>
      <w:r>
        <w:rPr>
          <w:rFonts w:ascii="Times New Roman" w:eastAsia="Times New Roman" w:hAnsi="Times New Roman" w:cs="Times New Roman"/>
          <w:sz w:val="24"/>
          <w:szCs w:val="24"/>
          <w:highlight w:val="white"/>
        </w:rPr>
        <w:t xml:space="preserve"> de Lausanne et </w:t>
      </w:r>
      <w:proofErr w:type="spellStart"/>
      <w:r>
        <w:rPr>
          <w:rFonts w:ascii="Times New Roman" w:eastAsia="Times New Roman" w:hAnsi="Times New Roman" w:cs="Times New Roman"/>
          <w:sz w:val="24"/>
          <w:szCs w:val="24"/>
          <w:highlight w:val="white"/>
        </w:rPr>
        <w:t>Neuchâtel</w:t>
      </w:r>
      <w:proofErr w:type="spellEnd"/>
      <w:r>
        <w:rPr>
          <w:rFonts w:ascii="Times New Roman" w:eastAsia="Times New Roman" w:hAnsi="Times New Roman" w:cs="Times New Roman"/>
          <w:sz w:val="24"/>
          <w:szCs w:val="24"/>
          <w:highlight w:val="white"/>
        </w:rPr>
        <w:t>, 2000-2002, Berne, Peter Lang, 2003, p. 79-81.</w:t>
      </w:r>
    </w:p>
    <w:p w14:paraId="2AE7709B" w14:textId="77777777" w:rsidR="006E483D" w:rsidRDefault="006E483D" w:rsidP="006E483D">
      <w:pPr>
        <w:spacing w:line="360" w:lineRule="auto"/>
        <w:jc w:val="both"/>
        <w:rPr>
          <w:rFonts w:ascii="Times New Roman" w:eastAsia="Times New Roman" w:hAnsi="Times New Roman" w:cs="Times New Roman"/>
          <w:sz w:val="24"/>
          <w:szCs w:val="24"/>
          <w:highlight w:val="white"/>
          <w:lang w:val="en-US"/>
        </w:rPr>
      </w:pPr>
      <w:r>
        <w:rPr>
          <w:rFonts w:ascii="Times New Roman" w:eastAsia="Times New Roman" w:hAnsi="Times New Roman" w:cs="Times New Roman"/>
          <w:sz w:val="24"/>
          <w:szCs w:val="24"/>
          <w:highlight w:val="white"/>
          <w:lang w:val="en-US"/>
        </w:rPr>
        <w:t>(2) Ver Yatromanolakis, Dimitrios, Sappho in the Making: The Early Reception, Washington, D.C.: Center for Hellenistic Studies, Trustees for Harvard University, 2007.</w:t>
      </w:r>
    </w:p>
    <w:p w14:paraId="0BD7AB46"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lang w:val="en-US"/>
        </w:rPr>
        <w:t xml:space="preserve">(3) Zanker, Paul, The Mask of Socrates: The Image of the Intellectual in Antiquity, University of California Press, Berkeley-Los Angeles-Oxford, 1995; Bottini, Angelo (ed.), Musa pensosa. </w:t>
      </w:r>
      <w:proofErr w:type="spellStart"/>
      <w:r>
        <w:rPr>
          <w:rFonts w:ascii="Times New Roman" w:eastAsia="Times New Roman" w:hAnsi="Times New Roman" w:cs="Times New Roman"/>
          <w:sz w:val="24"/>
          <w:szCs w:val="24"/>
          <w:highlight w:val="white"/>
        </w:rPr>
        <w:t>L’immagine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dell’intellettuale</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nell’antichità</w:t>
      </w:r>
      <w:proofErr w:type="spellEnd"/>
      <w:r>
        <w:rPr>
          <w:rFonts w:ascii="Times New Roman" w:eastAsia="Times New Roman" w:hAnsi="Times New Roman" w:cs="Times New Roman"/>
          <w:sz w:val="24"/>
          <w:szCs w:val="24"/>
          <w:highlight w:val="white"/>
        </w:rPr>
        <w:t xml:space="preserve">, Milano, </w:t>
      </w:r>
      <w:proofErr w:type="spellStart"/>
      <w:r>
        <w:rPr>
          <w:rFonts w:ascii="Times New Roman" w:eastAsia="Times New Roman" w:hAnsi="Times New Roman" w:cs="Times New Roman"/>
          <w:sz w:val="24"/>
          <w:szCs w:val="24"/>
          <w:highlight w:val="white"/>
        </w:rPr>
        <w:t>Electa</w:t>
      </w:r>
      <w:proofErr w:type="spellEnd"/>
      <w:r>
        <w:rPr>
          <w:rFonts w:ascii="Times New Roman" w:eastAsia="Times New Roman" w:hAnsi="Times New Roman" w:cs="Times New Roman"/>
          <w:sz w:val="24"/>
          <w:szCs w:val="24"/>
          <w:highlight w:val="white"/>
        </w:rPr>
        <w:t xml:space="preserve">, 2006.” </w:t>
      </w:r>
    </w:p>
    <w:p w14:paraId="6BD26269" w14:textId="77777777" w:rsidR="006E483D" w:rsidRDefault="006E483D" w:rsidP="006E483D">
      <w:pPr>
        <w:spacing w:line="360" w:lineRule="auto"/>
        <w:jc w:val="both"/>
        <w:rPr>
          <w:rFonts w:ascii="Times New Roman" w:eastAsia="Times New Roman" w:hAnsi="Times New Roman" w:cs="Times New Roman"/>
          <w:sz w:val="24"/>
          <w:szCs w:val="24"/>
          <w:highlight w:val="white"/>
        </w:rPr>
      </w:pPr>
    </w:p>
    <w:p w14:paraId="01164904"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Texto 5 - Heroínas atléticas. Por </w:t>
      </w:r>
      <w:proofErr w:type="spellStart"/>
      <w:r>
        <w:rPr>
          <w:rFonts w:ascii="Times New Roman" w:eastAsia="Times New Roman" w:hAnsi="Times New Roman" w:cs="Times New Roman"/>
          <w:sz w:val="24"/>
          <w:szCs w:val="24"/>
          <w:highlight w:val="white"/>
        </w:rPr>
        <w:t>Villard</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Flavien</w:t>
      </w:r>
      <w:proofErr w:type="spellEnd"/>
      <w:r>
        <w:rPr>
          <w:rFonts w:ascii="Times New Roman" w:eastAsia="Times New Roman" w:hAnsi="Times New Roman" w:cs="Times New Roman"/>
          <w:sz w:val="24"/>
          <w:szCs w:val="24"/>
          <w:highlight w:val="white"/>
        </w:rPr>
        <w:t xml:space="preserve">. </w:t>
      </w:r>
    </w:p>
    <w:p w14:paraId="4EFBBD19"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“Nem todas as mulheres nos mitos são reduzidas a um papel passivo e afastadas das atividades físicas. Algumas histórias apresentam sob uma luz positiva figuras femininas com qualidades atléticas excepcionais. O ponto comum entre estas personagens é serem jovens mulheres não casadas (</w:t>
      </w:r>
      <w:proofErr w:type="spellStart"/>
      <w:r>
        <w:rPr>
          <w:rFonts w:ascii="Times New Roman" w:eastAsia="Times New Roman" w:hAnsi="Times New Roman" w:cs="Times New Roman"/>
          <w:sz w:val="24"/>
          <w:szCs w:val="24"/>
          <w:highlight w:val="white"/>
        </w:rPr>
        <w:t>parthenoi</w:t>
      </w:r>
      <w:proofErr w:type="spellEnd"/>
      <w:r>
        <w:rPr>
          <w:rFonts w:ascii="Times New Roman" w:eastAsia="Times New Roman" w:hAnsi="Times New Roman" w:cs="Times New Roman"/>
          <w:sz w:val="24"/>
          <w:szCs w:val="24"/>
          <w:highlight w:val="white"/>
        </w:rPr>
        <w:t>) às quais as proezas esportivas conferem um atrativo suplementar. Algumas dessas heroínas são rebeldes ao casamento e todas recusam as atividades apresentadas como tradicionalmente femininas. Cada uma deve, finalmente, ceder ao poder de Afrodite, do qual nenhum mortal é capaz de escapar.</w:t>
      </w:r>
    </w:p>
    <w:p w14:paraId="2A924D17"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Atalanta era uma jovem acadiana, filha de </w:t>
      </w:r>
      <w:proofErr w:type="spellStart"/>
      <w:r>
        <w:rPr>
          <w:rFonts w:ascii="Times New Roman" w:eastAsia="Times New Roman" w:hAnsi="Times New Roman" w:cs="Times New Roman"/>
          <w:sz w:val="24"/>
          <w:szCs w:val="24"/>
          <w:highlight w:val="white"/>
        </w:rPr>
        <w:t>Íaso</w:t>
      </w:r>
      <w:proofErr w:type="spellEnd"/>
      <w:r>
        <w:rPr>
          <w:rFonts w:ascii="Times New Roman" w:eastAsia="Times New Roman" w:hAnsi="Times New Roman" w:cs="Times New Roman"/>
          <w:sz w:val="24"/>
          <w:szCs w:val="24"/>
          <w:highlight w:val="white"/>
        </w:rPr>
        <w:t>, que se recusava a casar. Desde a época arcaica (</w:t>
      </w:r>
      <w:proofErr w:type="spellStart"/>
      <w:r>
        <w:rPr>
          <w:rFonts w:ascii="Times New Roman" w:eastAsia="Times New Roman" w:hAnsi="Times New Roman" w:cs="Times New Roman"/>
          <w:sz w:val="24"/>
          <w:szCs w:val="24"/>
          <w:highlight w:val="white"/>
        </w:rPr>
        <w:t>Teógnis</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Elegias</w:t>
      </w:r>
      <w:r>
        <w:rPr>
          <w:rFonts w:ascii="Times New Roman" w:eastAsia="Times New Roman" w:hAnsi="Times New Roman" w:cs="Times New Roman"/>
          <w:sz w:val="24"/>
          <w:szCs w:val="24"/>
          <w:highlight w:val="white"/>
        </w:rPr>
        <w:t xml:space="preserve">, II, 1282-1293) até o período imperial, diversos autores afirmam que ela foge da casa paterna e realiza inúmeras façanhas. Em alguns autores, ela </w:t>
      </w:r>
      <w:proofErr w:type="spellStart"/>
      <w:r>
        <w:rPr>
          <w:rFonts w:ascii="Times New Roman" w:eastAsia="Times New Roman" w:hAnsi="Times New Roman" w:cs="Times New Roman"/>
          <w:sz w:val="24"/>
          <w:szCs w:val="24"/>
          <w:highlight w:val="white"/>
        </w:rPr>
        <w:t>vence</w:t>
      </w:r>
      <w:proofErr w:type="spellEnd"/>
      <w:r>
        <w:rPr>
          <w:rFonts w:ascii="Times New Roman" w:eastAsia="Times New Roman" w:hAnsi="Times New Roman" w:cs="Times New Roman"/>
          <w:sz w:val="24"/>
          <w:szCs w:val="24"/>
          <w:highlight w:val="white"/>
        </w:rPr>
        <w:t xml:space="preserve"> notadamente </w:t>
      </w:r>
      <w:proofErr w:type="spellStart"/>
      <w:r>
        <w:rPr>
          <w:rFonts w:ascii="Times New Roman" w:eastAsia="Times New Roman" w:hAnsi="Times New Roman" w:cs="Times New Roman"/>
          <w:sz w:val="24"/>
          <w:szCs w:val="24"/>
          <w:highlight w:val="white"/>
        </w:rPr>
        <w:t>Peleu</w:t>
      </w:r>
      <w:proofErr w:type="spellEnd"/>
      <w:r>
        <w:rPr>
          <w:rFonts w:ascii="Times New Roman" w:eastAsia="Times New Roman" w:hAnsi="Times New Roman" w:cs="Times New Roman"/>
          <w:sz w:val="24"/>
          <w:szCs w:val="24"/>
          <w:highlight w:val="white"/>
        </w:rPr>
        <w:t xml:space="preserve"> na luta, quando dos funerais do rei </w:t>
      </w:r>
      <w:proofErr w:type="spellStart"/>
      <w:r>
        <w:rPr>
          <w:rFonts w:ascii="Times New Roman" w:eastAsia="Times New Roman" w:hAnsi="Times New Roman" w:cs="Times New Roman"/>
          <w:sz w:val="24"/>
          <w:szCs w:val="24"/>
          <w:highlight w:val="white"/>
        </w:rPr>
        <w:t>Pélias</w:t>
      </w:r>
      <w:proofErr w:type="spellEnd"/>
      <w:r>
        <w:rPr>
          <w:rFonts w:ascii="Times New Roman" w:eastAsia="Times New Roman" w:hAnsi="Times New Roman" w:cs="Times New Roman"/>
          <w:sz w:val="24"/>
          <w:szCs w:val="24"/>
          <w:highlight w:val="white"/>
        </w:rPr>
        <w:t xml:space="preserve">. A heroína acaba se deixando seduzir por </w:t>
      </w:r>
      <w:proofErr w:type="spellStart"/>
      <w:r>
        <w:rPr>
          <w:rFonts w:ascii="Times New Roman" w:eastAsia="Times New Roman" w:hAnsi="Times New Roman" w:cs="Times New Roman"/>
          <w:sz w:val="24"/>
          <w:szCs w:val="24"/>
          <w:highlight w:val="white"/>
        </w:rPr>
        <w:t>Melânion</w:t>
      </w:r>
      <w:proofErr w:type="spellEnd"/>
      <w:r>
        <w:rPr>
          <w:rFonts w:ascii="Times New Roman" w:eastAsia="Times New Roman" w:hAnsi="Times New Roman" w:cs="Times New Roman"/>
          <w:sz w:val="24"/>
          <w:szCs w:val="24"/>
          <w:highlight w:val="white"/>
        </w:rPr>
        <w:t xml:space="preserve">, com quem ela se casa. O episódio de luta conhece grande sucesso na cerâmica grega durante o séc. VI a.C., seja na Ática ou em outras regiões. Atalanta, reconhecível na imagem por sua pele pálida, segura firmemente </w:t>
      </w:r>
      <w:proofErr w:type="spellStart"/>
      <w:r>
        <w:rPr>
          <w:rFonts w:ascii="Times New Roman" w:eastAsia="Times New Roman" w:hAnsi="Times New Roman" w:cs="Times New Roman"/>
          <w:sz w:val="24"/>
          <w:szCs w:val="24"/>
          <w:highlight w:val="white"/>
        </w:rPr>
        <w:t>Peleu</w:t>
      </w:r>
      <w:proofErr w:type="spellEnd"/>
      <w:r>
        <w:rPr>
          <w:rFonts w:ascii="Times New Roman" w:eastAsia="Times New Roman" w:hAnsi="Times New Roman" w:cs="Times New Roman"/>
          <w:sz w:val="24"/>
          <w:szCs w:val="24"/>
          <w:highlight w:val="white"/>
        </w:rPr>
        <w:t xml:space="preserve"> pela nuca, em uma posição de luta que lhe é vantajosa.</w:t>
      </w:r>
    </w:p>
    <w:p w14:paraId="49A4249A"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Outras versões contam uma outra história de Atalanta. Beócia, filha de </w:t>
      </w:r>
      <w:proofErr w:type="spellStart"/>
      <w:r>
        <w:rPr>
          <w:rFonts w:ascii="Times New Roman" w:eastAsia="Times New Roman" w:hAnsi="Times New Roman" w:cs="Times New Roman"/>
          <w:sz w:val="24"/>
          <w:szCs w:val="24"/>
          <w:highlight w:val="white"/>
        </w:rPr>
        <w:t>Escoineu</w:t>
      </w:r>
      <w:proofErr w:type="spellEnd"/>
      <w:r>
        <w:rPr>
          <w:rFonts w:ascii="Times New Roman" w:eastAsia="Times New Roman" w:hAnsi="Times New Roman" w:cs="Times New Roman"/>
          <w:sz w:val="24"/>
          <w:szCs w:val="24"/>
          <w:highlight w:val="white"/>
        </w:rPr>
        <w:t xml:space="preserve">, a jovem mulher, que recusava o casamento, desafiava seus pretendentes na corrida, com a aprovação de seu pai. Sua história é relatada essencialmente pelos fragmentos do Catálogo das Mulheres de Hesíodo (fr. 73-76). Em decorrência de sua beleza e sua graça, os jovens homens que desejavam obter sua mão eram muitos. </w:t>
      </w:r>
      <w:proofErr w:type="spellStart"/>
      <w:r>
        <w:rPr>
          <w:rFonts w:ascii="Times New Roman" w:eastAsia="Times New Roman" w:hAnsi="Times New Roman" w:cs="Times New Roman"/>
          <w:sz w:val="24"/>
          <w:szCs w:val="24"/>
          <w:highlight w:val="white"/>
        </w:rPr>
        <w:t>Hipômenes</w:t>
      </w:r>
      <w:proofErr w:type="spellEnd"/>
      <w:r>
        <w:rPr>
          <w:rFonts w:ascii="Times New Roman" w:eastAsia="Times New Roman" w:hAnsi="Times New Roman" w:cs="Times New Roman"/>
          <w:sz w:val="24"/>
          <w:szCs w:val="24"/>
          <w:highlight w:val="white"/>
        </w:rPr>
        <w:t xml:space="preserve"> foi o único a sair vencedor dessa prova, graças às maçãs de ouro de Afrodite, que retardaram a corrida de Atalanta. Ele pode, assim, esposar a jovem e escapar da morte que esperava os concorrentes sem sucesso. Se esse mito parece ter tido pouco sucesso na cerâmica grega, a versão de Ovídio nas Metamorfoses (X, 560-680) influenciou a pintura europeia moderna. Como Guido </w:t>
      </w:r>
      <w:proofErr w:type="spellStart"/>
      <w:r>
        <w:rPr>
          <w:rFonts w:ascii="Times New Roman" w:eastAsia="Times New Roman" w:hAnsi="Times New Roman" w:cs="Times New Roman"/>
          <w:sz w:val="24"/>
          <w:szCs w:val="24"/>
          <w:highlight w:val="white"/>
        </w:rPr>
        <w:t>Reni</w:t>
      </w:r>
      <w:proofErr w:type="spellEnd"/>
      <w:r>
        <w:rPr>
          <w:rFonts w:ascii="Times New Roman" w:eastAsia="Times New Roman" w:hAnsi="Times New Roman" w:cs="Times New Roman"/>
          <w:sz w:val="24"/>
          <w:szCs w:val="24"/>
          <w:highlight w:val="white"/>
        </w:rPr>
        <w:t>, diversos artistas escolheram representar o momento em que a jovem, colhendo as maçãs, aceita simbolicamente o casamento.</w:t>
      </w:r>
    </w:p>
    <w:p w14:paraId="391CF918"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Em várias versões do mito, Cirene é apresentada como uma jovem garota atlética que entrava em combates com animais silvestres e lutou vitoriosamente contra um leão (</w:t>
      </w:r>
      <w:proofErr w:type="spellStart"/>
      <w:r>
        <w:rPr>
          <w:rFonts w:ascii="Times New Roman" w:eastAsia="Times New Roman" w:hAnsi="Times New Roman" w:cs="Times New Roman"/>
          <w:sz w:val="24"/>
          <w:szCs w:val="24"/>
          <w:highlight w:val="white"/>
        </w:rPr>
        <w:t>Calímaco</w:t>
      </w:r>
      <w:proofErr w:type="spellEnd"/>
      <w:r>
        <w:rPr>
          <w:rFonts w:ascii="Times New Roman" w:eastAsia="Times New Roman" w:hAnsi="Times New Roman" w:cs="Times New Roman"/>
          <w:sz w:val="24"/>
          <w:szCs w:val="24"/>
          <w:highlight w:val="white"/>
        </w:rPr>
        <w:t>, Hinos, II, 91-92). Píndaro (</w:t>
      </w:r>
      <w:proofErr w:type="spellStart"/>
      <w:r>
        <w:rPr>
          <w:rFonts w:ascii="Times New Roman" w:eastAsia="Times New Roman" w:hAnsi="Times New Roman" w:cs="Times New Roman"/>
          <w:i/>
          <w:sz w:val="24"/>
          <w:szCs w:val="24"/>
          <w:highlight w:val="white"/>
        </w:rPr>
        <w:t>Pítica</w:t>
      </w:r>
      <w:proofErr w:type="spellEnd"/>
      <w:r>
        <w:rPr>
          <w:rFonts w:ascii="Times New Roman" w:eastAsia="Times New Roman" w:hAnsi="Times New Roman" w:cs="Times New Roman"/>
          <w:sz w:val="24"/>
          <w:szCs w:val="24"/>
          <w:highlight w:val="white"/>
        </w:rPr>
        <w:t xml:space="preserve"> IX, 21) afirma que ela era filha de </w:t>
      </w:r>
      <w:proofErr w:type="spellStart"/>
      <w:r>
        <w:rPr>
          <w:rFonts w:ascii="Times New Roman" w:eastAsia="Times New Roman" w:hAnsi="Times New Roman" w:cs="Times New Roman"/>
          <w:sz w:val="24"/>
          <w:szCs w:val="24"/>
          <w:highlight w:val="white"/>
        </w:rPr>
        <w:t>Ipseu</w:t>
      </w:r>
      <w:proofErr w:type="spellEnd"/>
      <w:r>
        <w:rPr>
          <w:rFonts w:ascii="Times New Roman" w:eastAsia="Times New Roman" w:hAnsi="Times New Roman" w:cs="Times New Roman"/>
          <w:sz w:val="24"/>
          <w:szCs w:val="24"/>
          <w:highlight w:val="white"/>
        </w:rPr>
        <w:t>. Apolo, tomado de desejo por ela ao assistir essa luta, a raptou e levou à África, onde se uniu a ela. A figura de Cirene, vinculada à fundação da cidade de mesmo nome na Líbia, é, portanto, importante na região, e isso até a época imperial. Várias representações da jovem derrotando o leão nos chegaram, dentre elas este baixo-relevo do séc. II d.C. Nele, Carpos agradece a Cirene, representante da cidade, pela hospitalidade. Coroada na Líbia, a jovem aí aparece em toda a sua glória, resultado de proezas atléticas excepcionais.”</w:t>
      </w:r>
    </w:p>
    <w:p w14:paraId="278CDCB2" w14:textId="77777777" w:rsidR="006E483D" w:rsidRDefault="006E483D" w:rsidP="006E483D">
      <w:pPr>
        <w:spacing w:line="360" w:lineRule="auto"/>
        <w:jc w:val="both"/>
        <w:rPr>
          <w:rFonts w:ascii="Times New Roman" w:eastAsia="Times New Roman" w:hAnsi="Times New Roman" w:cs="Times New Roman"/>
          <w:sz w:val="24"/>
          <w:szCs w:val="24"/>
          <w:highlight w:val="white"/>
        </w:rPr>
      </w:pPr>
    </w:p>
    <w:p w14:paraId="61FB5D5F" w14:textId="0F92564B" w:rsidR="006E483D" w:rsidRDefault="006E483D" w:rsidP="006E483D">
      <w:pPr>
        <w:pStyle w:val="Ttulo"/>
        <w:jc w:val="both"/>
        <w:rPr>
          <w:highlight w:val="white"/>
        </w:rPr>
      </w:pPr>
      <w:bookmarkStart w:id="1" w:name="_sat5vd6z4qms"/>
      <w:bookmarkEnd w:id="1"/>
      <w:r>
        <w:t xml:space="preserve">Tarefa </w:t>
      </w:r>
      <w:r>
        <w:t>–</w:t>
      </w:r>
      <w:r>
        <w:t xml:space="preserve"> </w:t>
      </w:r>
      <w:r>
        <w:t>SOCIEDADE/</w:t>
      </w:r>
      <w:r>
        <w:t>MUNDO DO TRABALHO</w:t>
      </w:r>
    </w:p>
    <w:p w14:paraId="0339F502" w14:textId="77777777" w:rsidR="006E483D" w:rsidRDefault="006E483D" w:rsidP="006E483D">
      <w:pPr>
        <w:spacing w:line="360" w:lineRule="auto"/>
        <w:jc w:val="both"/>
        <w:rPr>
          <w:rFonts w:ascii="Times New Roman" w:eastAsia="Times New Roman" w:hAnsi="Times New Roman" w:cs="Times New Roman"/>
          <w:sz w:val="24"/>
          <w:szCs w:val="24"/>
          <w:highlight w:val="white"/>
        </w:rPr>
      </w:pPr>
    </w:p>
    <w:p w14:paraId="61790BFE"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Passo 3:</w:t>
      </w:r>
    </w:p>
    <w:p w14:paraId="7BCDE6F0"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Texto 1 - </w:t>
      </w:r>
      <w:r>
        <w:rPr>
          <w:rFonts w:ascii="Times New Roman" w:eastAsia="Times New Roman" w:hAnsi="Times New Roman" w:cs="Times New Roman"/>
          <w:sz w:val="24"/>
          <w:szCs w:val="24"/>
        </w:rPr>
        <w:t xml:space="preserve">trecho retirado de “O estatuto social do sapateiro na antiguidade ateniense, por Chevitarese, 2001, p. 84. </w:t>
      </w:r>
    </w:p>
    <w:p w14:paraId="252189F6" w14:textId="77777777" w:rsidR="006E483D" w:rsidRDefault="006E483D" w:rsidP="006E483D">
      <w:pPr>
        <w:spacing w:line="36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“Ampliando o conjunto de informações, constata-se Xenofonte (</w:t>
      </w:r>
      <w:r>
        <w:rPr>
          <w:rFonts w:ascii="Times New Roman" w:eastAsia="Times New Roman" w:hAnsi="Times New Roman" w:cs="Times New Roman"/>
          <w:i/>
          <w:sz w:val="24"/>
          <w:szCs w:val="24"/>
          <w:highlight w:val="white"/>
        </w:rPr>
        <w:t>Ciropédica</w:t>
      </w:r>
      <w:r>
        <w:rPr>
          <w:rFonts w:ascii="Times New Roman" w:eastAsia="Times New Roman" w:hAnsi="Times New Roman" w:cs="Times New Roman"/>
          <w:sz w:val="24"/>
          <w:szCs w:val="24"/>
          <w:highlight w:val="white"/>
        </w:rPr>
        <w:t xml:space="preserve"> 8.2,5) mencionando o que seria, provavelmente, a vida no interior de uma grande sapataria. Vejamos a passagem: “Um homem faz sapatos para homens, o outro para as mulheres e há mesmo lugares onde um homem ganha a vida somente cosendo sapatos, o outro cortando-os, o outro cerzindo as partes superiores juntas, enquanto há (ainda) um outro que não desempenha nenhuma destas operações, mas somente monta as partes”. </w:t>
      </w:r>
    </w:p>
    <w:p w14:paraId="12B6771D" w14:textId="77777777" w:rsidR="006E483D" w:rsidRDefault="006E483D" w:rsidP="006E483D">
      <w:pPr>
        <w:spacing w:line="360" w:lineRule="auto"/>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0"/>
          <w:szCs w:val="20"/>
        </w:rPr>
        <w:t xml:space="preserve">Fonte: XENOFONTE, </w:t>
      </w:r>
      <w:r>
        <w:rPr>
          <w:rFonts w:ascii="Times New Roman" w:eastAsia="Times New Roman" w:hAnsi="Times New Roman" w:cs="Times New Roman"/>
          <w:i/>
          <w:sz w:val="20"/>
          <w:szCs w:val="20"/>
        </w:rPr>
        <w:t>Ciropédica</w:t>
      </w:r>
      <w:r>
        <w:rPr>
          <w:rFonts w:ascii="Times New Roman" w:eastAsia="Times New Roman" w:hAnsi="Times New Roman" w:cs="Times New Roman"/>
          <w:sz w:val="20"/>
          <w:szCs w:val="20"/>
        </w:rPr>
        <w:t xml:space="preserve">, 8.2,5. </w:t>
      </w:r>
    </w:p>
    <w:p w14:paraId="7D0457B7" w14:textId="77777777" w:rsidR="006E483D" w:rsidRDefault="006E483D" w:rsidP="006E483D">
      <w:pPr>
        <w:spacing w:line="360" w:lineRule="auto"/>
        <w:rPr>
          <w:rFonts w:ascii="Times New Roman" w:eastAsia="Times New Roman" w:hAnsi="Times New Roman" w:cs="Times New Roman"/>
          <w:sz w:val="24"/>
          <w:szCs w:val="24"/>
          <w:highlight w:val="white"/>
        </w:rPr>
      </w:pPr>
    </w:p>
    <w:p w14:paraId="2AA612EC"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Texto 2 - trecho </w:t>
      </w:r>
      <w:r>
        <w:rPr>
          <w:rFonts w:ascii="Times New Roman" w:eastAsia="Times New Roman" w:hAnsi="Times New Roman" w:cs="Times New Roman"/>
          <w:sz w:val="24"/>
          <w:szCs w:val="24"/>
        </w:rPr>
        <w:t xml:space="preserve">“O camponês na comédia </w:t>
      </w:r>
      <w:r>
        <w:rPr>
          <w:rFonts w:ascii="Times New Roman" w:eastAsia="Times New Roman" w:hAnsi="Times New Roman" w:cs="Times New Roman"/>
          <w:i/>
          <w:sz w:val="24"/>
          <w:szCs w:val="24"/>
        </w:rPr>
        <w:t>As Nuvens</w:t>
      </w:r>
      <w:r>
        <w:rPr>
          <w:rFonts w:ascii="Times New Roman" w:eastAsia="Times New Roman" w:hAnsi="Times New Roman" w:cs="Times New Roman"/>
          <w:sz w:val="24"/>
          <w:szCs w:val="24"/>
        </w:rPr>
        <w:t xml:space="preserve"> de Aristófanes”, por SILVA, ANO p. 4.  </w:t>
      </w:r>
    </w:p>
    <w:p w14:paraId="4030C2EC"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“Estre.: Pois eu levava uma agradável vida rústica, </w:t>
      </w:r>
    </w:p>
    <w:p w14:paraId="29B2B3BF"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Enlameado e relaxado, não incomodado por insetos,</w:t>
      </w:r>
    </w:p>
    <w:p w14:paraId="47A68253"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Abundante de abelhas, rebanhos e azeite.</w:t>
      </w:r>
    </w:p>
    <w:p w14:paraId="59E27F1F"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Depois, casei-me com uma sobrinha de </w:t>
      </w:r>
      <w:proofErr w:type="spellStart"/>
      <w:r>
        <w:rPr>
          <w:rFonts w:ascii="Times New Roman" w:eastAsia="Times New Roman" w:hAnsi="Times New Roman" w:cs="Times New Roman"/>
          <w:sz w:val="24"/>
          <w:szCs w:val="24"/>
          <w:highlight w:val="white"/>
        </w:rPr>
        <w:t>Mégacles</w:t>
      </w:r>
      <w:proofErr w:type="spellEnd"/>
      <w:r>
        <w:rPr>
          <w:rFonts w:ascii="Times New Roman" w:eastAsia="Times New Roman" w:hAnsi="Times New Roman" w:cs="Times New Roman"/>
          <w:sz w:val="24"/>
          <w:szCs w:val="24"/>
          <w:highlight w:val="white"/>
        </w:rPr>
        <w:t>.</w:t>
      </w:r>
    </w:p>
    <w:p w14:paraId="6133A15A"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Eu, apenas um camponês, ela da cidade, toda pomposa</w:t>
      </w:r>
    </w:p>
    <w:p w14:paraId="14C1D26A"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E luxuosa mulher da cidade.</w:t>
      </w:r>
    </w:p>
    <w:p w14:paraId="6AB1E261"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No dia do casamento, quando nos deitamos</w:t>
      </w:r>
    </w:p>
    <w:p w14:paraId="45469415"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Meu cheiro era de vinho novo, figos secos e lã em fartura.</w:t>
      </w:r>
    </w:p>
    <w:p w14:paraId="3FABB23C"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Mas ela cheirava a perfume de açafrão, beijos lascivos, </w:t>
      </w:r>
    </w:p>
    <w:p w14:paraId="38E18203"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despesas, gulodice e outros prazeres luxuriosos.</w:t>
      </w:r>
    </w:p>
    <w:p w14:paraId="3E457B3E"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Certamente não direi que era preguiçosa, mas esbanjava, </w:t>
      </w:r>
    </w:p>
    <w:p w14:paraId="0A95BE50" w14:textId="77777777" w:rsidR="006E483D" w:rsidRDefault="006E483D" w:rsidP="006E483D">
      <w:pPr>
        <w:spacing w:line="36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eu mostrava esse tecido e dizia: mulher, tu esbanjas demais (vv. 43. 55).”</w:t>
      </w:r>
    </w:p>
    <w:p w14:paraId="2DB2ACCD" w14:textId="77777777" w:rsidR="006E483D" w:rsidRDefault="006E483D" w:rsidP="006E483D">
      <w:pPr>
        <w:spacing w:line="360" w:lineRule="auto"/>
        <w:ind w:firstLine="860"/>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0"/>
          <w:szCs w:val="20"/>
        </w:rPr>
        <w:t xml:space="preserve">Fonte: ARISTÓFANES, </w:t>
      </w:r>
      <w:proofErr w:type="gramStart"/>
      <w:r>
        <w:rPr>
          <w:rFonts w:ascii="Times New Roman" w:eastAsia="Times New Roman" w:hAnsi="Times New Roman" w:cs="Times New Roman"/>
          <w:i/>
          <w:sz w:val="20"/>
          <w:szCs w:val="20"/>
        </w:rPr>
        <w:t>As</w:t>
      </w:r>
      <w:proofErr w:type="gramEnd"/>
      <w:r>
        <w:rPr>
          <w:rFonts w:ascii="Times New Roman" w:eastAsia="Times New Roman" w:hAnsi="Times New Roman" w:cs="Times New Roman"/>
          <w:i/>
          <w:sz w:val="20"/>
          <w:szCs w:val="20"/>
        </w:rPr>
        <w:t xml:space="preserve"> nuvens</w:t>
      </w:r>
      <w:r>
        <w:rPr>
          <w:rFonts w:ascii="Times New Roman" w:eastAsia="Times New Roman" w:hAnsi="Times New Roman" w:cs="Times New Roman"/>
          <w:sz w:val="20"/>
          <w:szCs w:val="20"/>
        </w:rPr>
        <w:t>. Tradução por Matheus Barros da Silva.</w:t>
      </w:r>
    </w:p>
    <w:p w14:paraId="3A9BEE9E" w14:textId="77777777" w:rsidR="006E483D" w:rsidRDefault="006E483D" w:rsidP="006E483D">
      <w:pPr>
        <w:spacing w:line="360" w:lineRule="auto"/>
        <w:ind w:firstLine="860"/>
        <w:jc w:val="center"/>
        <w:rPr>
          <w:rFonts w:ascii="Times New Roman" w:eastAsia="Times New Roman" w:hAnsi="Times New Roman" w:cs="Times New Roman"/>
          <w:sz w:val="24"/>
          <w:szCs w:val="24"/>
          <w:highlight w:val="white"/>
        </w:rPr>
      </w:pPr>
    </w:p>
    <w:p w14:paraId="0B1DFB71" w14:textId="77777777" w:rsidR="006E483D" w:rsidRDefault="006E483D" w:rsidP="006E48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Texto 3 - </w:t>
      </w:r>
      <w:r>
        <w:rPr>
          <w:rFonts w:ascii="Times New Roman" w:eastAsia="Times New Roman" w:hAnsi="Times New Roman" w:cs="Times New Roman"/>
          <w:sz w:val="24"/>
          <w:szCs w:val="24"/>
        </w:rPr>
        <w:t xml:space="preserve">trecho retirado de “O camponês na comédia </w:t>
      </w:r>
      <w:r>
        <w:rPr>
          <w:rFonts w:ascii="Times New Roman" w:eastAsia="Times New Roman" w:hAnsi="Times New Roman" w:cs="Times New Roman"/>
          <w:i/>
          <w:sz w:val="24"/>
          <w:szCs w:val="24"/>
        </w:rPr>
        <w:t>As Nuvens</w:t>
      </w:r>
      <w:r>
        <w:rPr>
          <w:rFonts w:ascii="Times New Roman" w:eastAsia="Times New Roman" w:hAnsi="Times New Roman" w:cs="Times New Roman"/>
          <w:sz w:val="24"/>
          <w:szCs w:val="24"/>
        </w:rPr>
        <w:t xml:space="preserve"> de Aristófanes”, por SILVA, 2022, p. 7.</w:t>
      </w:r>
    </w:p>
    <w:p w14:paraId="1843E1F0" w14:textId="77777777" w:rsidR="006E483D" w:rsidRDefault="006E483D" w:rsidP="006E48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“Dic.: Contemplo o campo, desejoso de paz</w:t>
      </w:r>
    </w:p>
    <w:p w14:paraId="7F3F7D64" w14:textId="77777777" w:rsidR="006E483D" w:rsidRDefault="006E483D" w:rsidP="006E48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Odeio a cidade e sinto saudades de minha aldeia</w:t>
      </w:r>
    </w:p>
    <w:p w14:paraId="41BA50ED" w14:textId="77777777" w:rsidR="006E483D" w:rsidRDefault="006E483D" w:rsidP="006E48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campo nunca ouvi “compre carvão, </w:t>
      </w:r>
    </w:p>
    <w:p w14:paraId="23BF67A5" w14:textId="77777777" w:rsidR="006E483D" w:rsidRDefault="006E483D" w:rsidP="006E48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Compre vinagre, compre azeite, compre isto e aquilo”. </w:t>
      </w:r>
    </w:p>
    <w:p w14:paraId="00F7ECBA" w14:textId="77777777" w:rsidR="006E483D" w:rsidRDefault="006E483D" w:rsidP="006E48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 campo me dava tudo e nunca precisei do Sr. Compre (vv. 33-37).”</w:t>
      </w:r>
    </w:p>
    <w:p w14:paraId="42414F7F" w14:textId="77777777" w:rsidR="006E483D" w:rsidRDefault="006E483D" w:rsidP="006E483D">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ARISTÓFANES, </w:t>
      </w:r>
      <w:r>
        <w:rPr>
          <w:rFonts w:ascii="Times New Roman" w:eastAsia="Times New Roman" w:hAnsi="Times New Roman" w:cs="Times New Roman"/>
          <w:i/>
          <w:sz w:val="20"/>
          <w:szCs w:val="20"/>
        </w:rPr>
        <w:t>Os Acarnenses</w:t>
      </w:r>
      <w:r>
        <w:rPr>
          <w:rFonts w:ascii="Times New Roman" w:eastAsia="Times New Roman" w:hAnsi="Times New Roman" w:cs="Times New Roman"/>
          <w:sz w:val="20"/>
          <w:szCs w:val="20"/>
        </w:rPr>
        <w:t>. Tradução por Luiz Otávio Magalhães.</w:t>
      </w:r>
    </w:p>
    <w:p w14:paraId="5E939041" w14:textId="77777777" w:rsidR="006E483D" w:rsidRDefault="006E483D" w:rsidP="006E483D">
      <w:pPr>
        <w:spacing w:line="360" w:lineRule="auto"/>
        <w:jc w:val="both"/>
        <w:rPr>
          <w:rFonts w:ascii="Times New Roman" w:eastAsia="Times New Roman" w:hAnsi="Times New Roman" w:cs="Times New Roman"/>
          <w:sz w:val="20"/>
          <w:szCs w:val="20"/>
        </w:rPr>
      </w:pPr>
    </w:p>
    <w:p w14:paraId="5E12001A"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Texto 4 - trecho retirado de “Mercadores e Comerciantes na Democracia Ateniense: 431-322 a.C.”, por Melo, 2015,</w:t>
      </w:r>
      <w:r>
        <w:rPr>
          <w:rFonts w:ascii="Times New Roman" w:eastAsia="Times New Roman" w:hAnsi="Times New Roman" w:cs="Times New Roman"/>
          <w:color w:val="FFFF00"/>
          <w:sz w:val="24"/>
          <w:szCs w:val="24"/>
        </w:rPr>
        <w:t xml:space="preserve"> </w:t>
      </w:r>
      <w:r>
        <w:rPr>
          <w:rFonts w:ascii="Times New Roman" w:eastAsia="Times New Roman" w:hAnsi="Times New Roman" w:cs="Times New Roman"/>
          <w:sz w:val="24"/>
          <w:szCs w:val="24"/>
        </w:rPr>
        <w:t>p. 130.</w:t>
      </w:r>
    </w:p>
    <w:p w14:paraId="739AD443"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“Haverá indivíduos que notarão a sua presença [daqueles que querem trocar seus produtos] e prestarão o devido serviço; nos Estados bem organizados essas pessoas serão geralmente aquelas de corpos mais frágeis, incapazes de desempenhar qualquer outro trabalho. Permanecerão no mercado trocando dinheiro pelos produtos daqueles que desejam vender e trocando esses produtos pelo dinheiro daqueles que desejam tais produtos.” </w:t>
      </w:r>
    </w:p>
    <w:p w14:paraId="15CE00FC" w14:textId="77777777" w:rsidR="006E483D" w:rsidRDefault="006E483D" w:rsidP="006E483D">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PLATÃO, </w:t>
      </w:r>
      <w:r>
        <w:rPr>
          <w:rFonts w:ascii="Times New Roman" w:eastAsia="Times New Roman" w:hAnsi="Times New Roman" w:cs="Times New Roman"/>
          <w:i/>
          <w:sz w:val="20"/>
          <w:szCs w:val="20"/>
        </w:rPr>
        <w:t>A República</w:t>
      </w:r>
      <w:r>
        <w:rPr>
          <w:rFonts w:ascii="Times New Roman" w:eastAsia="Times New Roman" w:hAnsi="Times New Roman" w:cs="Times New Roman"/>
          <w:sz w:val="20"/>
          <w:szCs w:val="20"/>
        </w:rPr>
        <w:t xml:space="preserve">, 371 d. </w:t>
      </w:r>
    </w:p>
    <w:p w14:paraId="1B0873BA" w14:textId="77777777" w:rsidR="006E483D" w:rsidRDefault="006E483D" w:rsidP="006E483D">
      <w:pPr>
        <w:spacing w:line="360" w:lineRule="auto"/>
        <w:jc w:val="center"/>
        <w:rPr>
          <w:rFonts w:ascii="Times New Roman" w:eastAsia="Times New Roman" w:hAnsi="Times New Roman" w:cs="Times New Roman"/>
          <w:sz w:val="20"/>
          <w:szCs w:val="20"/>
        </w:rPr>
      </w:pPr>
    </w:p>
    <w:p w14:paraId="2E4C788B"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Texto 5 - trecho retirado de “Mercadores e Comerciantes na Democracia Ateniense: 431-322 a.C.”, por Melo, 2015, p. 132.</w:t>
      </w:r>
    </w:p>
    <w:p w14:paraId="46B93B65"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“Pois se um Estado é tranquilo, que classe de homens não iria precisar dele? Donos de navios e mercadores liderariam a lista. Então haveria aqueles ricos em cereais e vinho, em azeite e rebanhos; homens possuidores de cérebro e dinheiro para investir. artesãos e professores e filósofos; poetas e as pessoas que fazem uso de seus serviços (...). Além disso, onde iriam aqueles que querem vender ou comprar rapidamente qualquer coisa com melhor sucesso em seus esforços se não a Atenas?”. </w:t>
      </w:r>
    </w:p>
    <w:p w14:paraId="4B2875CC" w14:textId="77777777" w:rsidR="006E483D" w:rsidRDefault="006E483D" w:rsidP="006E483D">
      <w:pPr>
        <w:spacing w:line="36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XENOFONTE, </w:t>
      </w:r>
      <w:r>
        <w:rPr>
          <w:rFonts w:ascii="Times New Roman" w:eastAsia="Times New Roman" w:hAnsi="Times New Roman" w:cs="Times New Roman"/>
          <w:i/>
          <w:sz w:val="20"/>
          <w:szCs w:val="20"/>
        </w:rPr>
        <w:t>Poroi</w:t>
      </w:r>
      <w:r>
        <w:rPr>
          <w:rFonts w:ascii="Times New Roman" w:eastAsia="Times New Roman" w:hAnsi="Times New Roman" w:cs="Times New Roman"/>
          <w:sz w:val="20"/>
          <w:szCs w:val="20"/>
        </w:rPr>
        <w:t>, 5.3</w:t>
      </w:r>
    </w:p>
    <w:p w14:paraId="6A3BE05C" w14:textId="77777777" w:rsidR="006E483D" w:rsidRDefault="006E483D" w:rsidP="006E483D">
      <w:pPr>
        <w:spacing w:line="360" w:lineRule="auto"/>
        <w:rPr>
          <w:rFonts w:ascii="Times New Roman" w:eastAsia="Times New Roman" w:hAnsi="Times New Roman" w:cs="Times New Roman"/>
          <w:sz w:val="24"/>
          <w:szCs w:val="24"/>
        </w:rPr>
      </w:pPr>
    </w:p>
    <w:p w14:paraId="161B0DAE"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Texto 6 - trecho retirado de “Os menosprezados da história - O caso de Esparta”, por Moura, 1999, p. 19. </w:t>
      </w:r>
    </w:p>
    <w:p w14:paraId="26E8810A"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“Considerar que Xenofonte ou Aristóteles, em seus escritos, representavam o pensamento de toda a sociedade grega a respeito do estatuto do artesão, do comerciante ou da importância dos ofícios e do comércio em geral, é acreditar que esses textos não tinham nenhum teor político-ideológico, ou seja, que eles representavam a própria “verdade dos fatos” sobre a economia grega. Os textos de ambos estão, pelo contrário, recheados de segundas intenções, de propostas sociais excludentes no tocante à participação política de grande parte do corpo cívico, e de uma visão econômica fundada nos valores dos grandes proprietários de terra. Ambos, além do mais, eram extremamente conservadores e elitistas em relação às múltiplas possibilidades de leitura do universo simbólico grego. A economia grega era política por excelência, não por ser aqui uma especificidade grega, mas porque qualquer economia é sempre uma construção político-ideológica por excelência. Assim é atualmente, assim era na Grécia Antiga”. </w:t>
      </w:r>
    </w:p>
    <w:p w14:paraId="40AB1248" w14:textId="77777777" w:rsidR="006E483D" w:rsidRDefault="006E483D" w:rsidP="006E48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Fonte: MOURA, 1999, p. 19.</w:t>
      </w:r>
    </w:p>
    <w:p w14:paraId="7DE93017" w14:textId="77777777" w:rsidR="006E483D" w:rsidRDefault="006E483D" w:rsidP="006E483D">
      <w:pPr>
        <w:spacing w:line="360" w:lineRule="auto"/>
        <w:rPr>
          <w:rFonts w:ascii="Times New Roman" w:eastAsia="Times New Roman" w:hAnsi="Times New Roman" w:cs="Times New Roman"/>
          <w:sz w:val="24"/>
          <w:szCs w:val="24"/>
        </w:rPr>
      </w:pPr>
    </w:p>
    <w:p w14:paraId="75E6DDAF" w14:textId="77777777" w:rsidR="006E483D" w:rsidRDefault="006E483D" w:rsidP="006E483D">
      <w:pPr>
        <w:pStyle w:val="Ttulo"/>
      </w:pPr>
      <w:bookmarkStart w:id="2" w:name="_im3sxt6i8mew"/>
      <w:bookmarkEnd w:id="2"/>
      <w:r>
        <w:t xml:space="preserve">TAREFA - A GUERRA DO PELOPONESO </w:t>
      </w:r>
    </w:p>
    <w:p w14:paraId="34D3822E" w14:textId="77777777" w:rsidR="006E483D" w:rsidRDefault="006E483D" w:rsidP="006E483D">
      <w:pPr>
        <w:spacing w:line="360" w:lineRule="auto"/>
        <w:rPr>
          <w:rFonts w:ascii="Times New Roman" w:eastAsia="Times New Roman" w:hAnsi="Times New Roman" w:cs="Times New Roman"/>
          <w:sz w:val="24"/>
          <w:szCs w:val="24"/>
        </w:rPr>
      </w:pPr>
    </w:p>
    <w:p w14:paraId="3135DF13" w14:textId="77777777" w:rsidR="006E483D" w:rsidRDefault="006E483D" w:rsidP="006E48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Texto 1 - trecho do artigo "Historiografia de Tucídides”, por Carla Gaustad.</w:t>
      </w:r>
    </w:p>
    <w:p w14:paraId="7ABBB6DD"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Moses</w:t>
      </w:r>
      <w:proofErr w:type="spellEnd"/>
      <w:r>
        <w:rPr>
          <w:rFonts w:ascii="Times New Roman" w:eastAsia="Times New Roman" w:hAnsi="Times New Roman" w:cs="Times New Roman"/>
          <w:sz w:val="24"/>
          <w:szCs w:val="24"/>
        </w:rPr>
        <w:t xml:space="preserve"> I. </w:t>
      </w:r>
      <w:proofErr w:type="spellStart"/>
      <w:r>
        <w:rPr>
          <w:rFonts w:ascii="Times New Roman" w:eastAsia="Times New Roman" w:hAnsi="Times New Roman" w:cs="Times New Roman"/>
          <w:sz w:val="24"/>
          <w:szCs w:val="24"/>
        </w:rPr>
        <w:t>Finley</w:t>
      </w:r>
      <w:proofErr w:type="spellEnd"/>
      <w:r>
        <w:rPr>
          <w:rFonts w:ascii="Times New Roman" w:eastAsia="Times New Roman" w:hAnsi="Times New Roman" w:cs="Times New Roman"/>
          <w:sz w:val="24"/>
          <w:szCs w:val="24"/>
        </w:rPr>
        <w:t xml:space="preserve"> escreve que a guerra do Peloponeso é diferente das outras guerras da antiguidade porque sua fama não é construída pelo mito e pelo romance, ao contrário, esta guerra, travada entre Atenas e Esparta de 431 a 404, perdura na história devido ao homem a descreveu, Tucídides o ateniense. Assim como a Guerra de Tróia permanece associada ao nome de Homero, a Guerra do Peloponeso depende inteiramente de Tucídides, neste sentido autor da guerra enquanto tema da memória, na situação precisa em que o tema histórico </w:t>
      </w:r>
      <w:proofErr w:type="gramStart"/>
      <w:r>
        <w:rPr>
          <w:rFonts w:ascii="Times New Roman" w:eastAsia="Times New Roman" w:hAnsi="Times New Roman" w:cs="Times New Roman"/>
          <w:sz w:val="24"/>
          <w:szCs w:val="24"/>
        </w:rPr>
        <w:t>constitui-se</w:t>
      </w:r>
      <w:proofErr w:type="gramEnd"/>
      <w:r>
        <w:rPr>
          <w:rFonts w:ascii="Times New Roman" w:eastAsia="Times New Roman" w:hAnsi="Times New Roman" w:cs="Times New Roman"/>
          <w:sz w:val="24"/>
          <w:szCs w:val="24"/>
        </w:rPr>
        <w:t xml:space="preserve"> como o produto de seu relator.” </w:t>
      </w:r>
    </w:p>
    <w:p w14:paraId="0E6329C2" w14:textId="77777777" w:rsidR="006E483D" w:rsidRDefault="006E483D" w:rsidP="006E483D">
      <w:pPr>
        <w:spacing w:line="360" w:lineRule="auto"/>
        <w:ind w:firstLine="85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GASTAUD, 2017, p. 4.</w:t>
      </w:r>
    </w:p>
    <w:p w14:paraId="0D45B97E" w14:textId="77777777" w:rsidR="006E483D" w:rsidRDefault="006E483D" w:rsidP="006E483D">
      <w:pPr>
        <w:spacing w:line="360" w:lineRule="auto"/>
        <w:rPr>
          <w:rFonts w:ascii="Times New Roman" w:eastAsia="Times New Roman" w:hAnsi="Times New Roman" w:cs="Times New Roman"/>
          <w:sz w:val="24"/>
          <w:szCs w:val="24"/>
        </w:rPr>
      </w:pPr>
    </w:p>
    <w:p w14:paraId="46E9CB39"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Texto 2 - trecho do artigo "Historiografia de Tucídides”, por Carla Gaustad.</w:t>
      </w:r>
    </w:p>
    <w:p w14:paraId="1226293E"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Deve-se portanto ter o cuidado de não confundir a intenção de Tucídides com o que ele efetivamente realiza. </w:t>
      </w:r>
    </w:p>
    <w:p w14:paraId="5D08F9B3"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Tucídides, hoje, é valorizado como referência de tradições essenciais do pensamento historiográfico, matriz de um tipo de análise. Falando rigorosamente, ele faz uma tentativa de método na qual intervém fatores subjetivos, como na relação dele com Heródoto, por exemplo, entre muitas outras modulações interpretativas continentes de opinião pessoal, explícita ou, mais frequentemente, implícita.” </w:t>
      </w:r>
    </w:p>
    <w:p w14:paraId="3C60417D" w14:textId="77777777" w:rsidR="006E483D" w:rsidRDefault="006E483D" w:rsidP="006E483D">
      <w:pPr>
        <w:spacing w:line="360" w:lineRule="auto"/>
        <w:ind w:firstLine="85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Fonte: GASTAUD, 2017, p.  5.</w:t>
      </w:r>
    </w:p>
    <w:p w14:paraId="53BD1CBE" w14:textId="2930510C" w:rsidR="006E483D" w:rsidRDefault="006E483D" w:rsidP="006E483D">
      <w:pPr>
        <w:spacing w:line="360" w:lineRule="auto"/>
        <w:ind w:firstLine="850"/>
        <w:jc w:val="center"/>
        <w:rPr>
          <w:rFonts w:ascii="Times New Roman" w:eastAsia="Times New Roman" w:hAnsi="Times New Roman" w:cs="Times New Roman"/>
          <w:sz w:val="20"/>
          <w:szCs w:val="20"/>
        </w:rPr>
      </w:pPr>
    </w:p>
    <w:p w14:paraId="3DA21034" w14:textId="0D546260" w:rsidR="006E483D" w:rsidRDefault="006E483D" w:rsidP="006E483D">
      <w:pPr>
        <w:spacing w:line="360" w:lineRule="auto"/>
        <w:ind w:firstLine="850"/>
        <w:jc w:val="center"/>
        <w:rPr>
          <w:rFonts w:ascii="Times New Roman" w:eastAsia="Times New Roman" w:hAnsi="Times New Roman" w:cs="Times New Roman"/>
          <w:sz w:val="20"/>
          <w:szCs w:val="20"/>
        </w:rPr>
      </w:pPr>
    </w:p>
    <w:p w14:paraId="794EBB49" w14:textId="5C73EB7C" w:rsidR="006E483D" w:rsidRDefault="006E483D" w:rsidP="006E483D">
      <w:pPr>
        <w:spacing w:line="360" w:lineRule="auto"/>
        <w:ind w:firstLine="850"/>
        <w:jc w:val="center"/>
        <w:rPr>
          <w:rFonts w:ascii="Times New Roman" w:eastAsia="Times New Roman" w:hAnsi="Times New Roman" w:cs="Times New Roman"/>
          <w:sz w:val="20"/>
          <w:szCs w:val="20"/>
        </w:rPr>
      </w:pPr>
    </w:p>
    <w:p w14:paraId="661DD993" w14:textId="77777777" w:rsidR="006E483D" w:rsidRDefault="006E483D" w:rsidP="006E483D">
      <w:pPr>
        <w:spacing w:line="360" w:lineRule="auto"/>
        <w:ind w:firstLine="850"/>
        <w:jc w:val="center"/>
        <w:rPr>
          <w:rFonts w:ascii="Times New Roman" w:eastAsia="Times New Roman" w:hAnsi="Times New Roman" w:cs="Times New Roman"/>
          <w:sz w:val="20"/>
          <w:szCs w:val="20"/>
        </w:rPr>
      </w:pPr>
      <w:bookmarkStart w:id="3" w:name="_GoBack"/>
      <w:bookmarkEnd w:id="3"/>
    </w:p>
    <w:p w14:paraId="1904980B" w14:textId="77777777" w:rsidR="006E483D" w:rsidRDefault="006E483D" w:rsidP="006E48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Texto 3 - trecho do artigo "Historiografia de Tucídides”, por Carla Gaustad.</w:t>
      </w:r>
    </w:p>
    <w:p w14:paraId="60498A80"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“Tucídides nasceu em 460 a.C., de uma família aristocrática que, pelas indicações, possuía minas de ouro na Trácia. Provavelmente prestou serviço junto às forças atenienses nos primeiros anos da Guerra do Peloponeso. Em 424 a.C., foi eleito estratego, encarregado do comando da esquadra do Norte do Egeu, o general espartano </w:t>
      </w:r>
      <w:proofErr w:type="spellStart"/>
      <w:r>
        <w:rPr>
          <w:rFonts w:ascii="Times New Roman" w:eastAsia="Times New Roman" w:hAnsi="Times New Roman" w:cs="Times New Roman"/>
          <w:sz w:val="24"/>
          <w:szCs w:val="24"/>
        </w:rPr>
        <w:t>Brasidas</w:t>
      </w:r>
      <w:proofErr w:type="spellEnd"/>
      <w:r>
        <w:rPr>
          <w:rFonts w:ascii="Times New Roman" w:eastAsia="Times New Roman" w:hAnsi="Times New Roman" w:cs="Times New Roman"/>
          <w:sz w:val="24"/>
          <w:szCs w:val="24"/>
        </w:rPr>
        <w:t xml:space="preserve"> se apoderou de surpresa de </w:t>
      </w:r>
      <w:proofErr w:type="spellStart"/>
      <w:r>
        <w:rPr>
          <w:rFonts w:ascii="Times New Roman" w:eastAsia="Times New Roman" w:hAnsi="Times New Roman" w:cs="Times New Roman"/>
          <w:sz w:val="24"/>
          <w:szCs w:val="24"/>
        </w:rPr>
        <w:t>Anfípolis</w:t>
      </w:r>
      <w:proofErr w:type="spellEnd"/>
      <w:r>
        <w:rPr>
          <w:rFonts w:ascii="Times New Roman" w:eastAsia="Times New Roman" w:hAnsi="Times New Roman" w:cs="Times New Roman"/>
          <w:sz w:val="24"/>
          <w:szCs w:val="24"/>
        </w:rPr>
        <w:t xml:space="preserve"> antes que Tucídides pudesse intervir. Condenado pelos atenienses, exilou-se e viveu longe de Atenas até o fim da guerra, possivelmente na Trácia.</w:t>
      </w:r>
    </w:p>
    <w:p w14:paraId="00534CA9" w14:textId="77777777" w:rsidR="006E483D" w:rsidRDefault="006E483D" w:rsidP="006E483D">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 431 a 424 a.C., Tucídides assistiu a debates, assembleias e operações militares relacionados à vida da cidade e à guerra então em curso. Acompanhou os estragos provocados em Atenas, pela guerra e pela peste. Testemunha pessoal, ou informado pelo ambiente em que vivia, pôde registrar todos os detalhes desde o começo das hostilidades.” </w:t>
      </w:r>
    </w:p>
    <w:p w14:paraId="16B0A20D" w14:textId="77777777" w:rsidR="006E483D" w:rsidRDefault="006E483D" w:rsidP="006E483D">
      <w:pPr>
        <w:spacing w:line="360" w:lineRule="auto"/>
        <w:ind w:firstLine="85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Fonte: GASTAUD, 2017, p. 9. </w:t>
      </w:r>
    </w:p>
    <w:p w14:paraId="1145781C" w14:textId="77777777" w:rsidR="006E483D" w:rsidRDefault="006E483D" w:rsidP="006E483D">
      <w:pPr>
        <w:pStyle w:val="Ttulo"/>
        <w:jc w:val="both"/>
      </w:pPr>
      <w:bookmarkStart w:id="4" w:name="_5dz6dpi9emi7"/>
      <w:bookmarkEnd w:id="4"/>
    </w:p>
    <w:p w14:paraId="311D9289" w14:textId="77777777" w:rsidR="006E483D" w:rsidRDefault="006E483D" w:rsidP="006E483D">
      <w:pPr>
        <w:spacing w:line="360" w:lineRule="auto"/>
        <w:ind w:firstLine="850"/>
        <w:jc w:val="center"/>
        <w:rPr>
          <w:rFonts w:ascii="Times New Roman" w:eastAsia="Times New Roman" w:hAnsi="Times New Roman" w:cs="Times New Roman"/>
          <w:sz w:val="24"/>
          <w:szCs w:val="24"/>
        </w:rPr>
      </w:pPr>
      <w:bookmarkStart w:id="5" w:name="_17dp8vu"/>
      <w:bookmarkEnd w:id="5"/>
    </w:p>
    <w:p w14:paraId="368F3D6F" w14:textId="10AD6A20" w:rsidR="0020182C" w:rsidRPr="00C07904" w:rsidRDefault="0020182C" w:rsidP="00DE55FB">
      <w:pPr>
        <w:spacing w:line="360" w:lineRule="auto"/>
        <w:jc w:val="both"/>
        <w:rPr>
          <w:rFonts w:ascii="Times New Roman" w:hAnsi="Times New Roman" w:cs="Times New Roman"/>
          <w:sz w:val="24"/>
          <w:szCs w:val="24"/>
        </w:rPr>
      </w:pPr>
    </w:p>
    <w:sectPr w:rsidR="0020182C" w:rsidRPr="00C07904" w:rsidSect="00C07904">
      <w:headerReference w:type="even" r:id="rId6"/>
      <w:headerReference w:type="default" r:id="rId7"/>
      <w:headerReference w:type="first" r:id="rId8"/>
      <w:pgSz w:w="11906" w:h="16838"/>
      <w:pgMar w:top="720" w:right="720" w:bottom="720" w:left="720" w:header="708" w:footer="708"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18B37" w14:textId="77777777" w:rsidR="00D709A4" w:rsidRDefault="00D709A4" w:rsidP="009A62CD">
      <w:pPr>
        <w:spacing w:line="240" w:lineRule="auto"/>
      </w:pPr>
      <w:r>
        <w:separator/>
      </w:r>
    </w:p>
  </w:endnote>
  <w:endnote w:type="continuationSeparator" w:id="0">
    <w:p w14:paraId="3CB2C5E4" w14:textId="77777777" w:rsidR="00D709A4" w:rsidRDefault="00D709A4" w:rsidP="009A62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Normal">
    <w:charset w:val="00"/>
    <w:family w:val="auto"/>
    <w:pitch w:val="variable"/>
    <w:sig w:usb0="00000087" w:usb1="00000000" w:usb2="00000000" w:usb3="00000000" w:csb0="0000001B" w:csb1="00000000"/>
  </w:font>
  <w:font w:name="Helvetica-Bold">
    <w:altName w:val="Helvetic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B026A5" w14:textId="77777777" w:rsidR="00D709A4" w:rsidRDefault="00D709A4" w:rsidP="009A62CD">
      <w:pPr>
        <w:spacing w:line="240" w:lineRule="auto"/>
      </w:pPr>
      <w:r>
        <w:separator/>
      </w:r>
    </w:p>
  </w:footnote>
  <w:footnote w:type="continuationSeparator" w:id="0">
    <w:p w14:paraId="4E81E919" w14:textId="77777777" w:rsidR="00D709A4" w:rsidRDefault="00D709A4" w:rsidP="009A62C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FFEA" w14:textId="7A56EA19" w:rsidR="009A62CD" w:rsidRDefault="006E483D">
    <w:pPr>
      <w:pStyle w:val="Cabealho"/>
    </w:pPr>
    <w:r>
      <w:rPr>
        <w:noProof/>
      </w:rPr>
      <w:pict w14:anchorId="735FB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0" o:spid="_x0000_s2050" type="#_x0000_t75" style="position:absolute;margin-left:0;margin-top:0;width:430.15pt;height:241.9pt;z-index:-251657216;mso-position-horizontal:center;mso-position-horizontal-relative:margin;mso-position-vertical:center;mso-position-vertical-relative:margin" o:allowincell="f">
          <v:imagedata r:id="rId1" o:title="fundo-branc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72B75A" w14:textId="3A956A21" w:rsidR="009A62CD" w:rsidRPr="001A75E0" w:rsidRDefault="006E483D" w:rsidP="009A62CD">
    <w:pPr>
      <w:pStyle w:val="SemEspaamento"/>
      <w:jc w:val="both"/>
      <w:rPr>
        <w:rFonts w:ascii="Times New Roman" w:hAnsi="Times New Roman" w:cs="Times New Roman"/>
        <w:b/>
        <w:sz w:val="20"/>
        <w:szCs w:val="20"/>
      </w:rPr>
    </w:pPr>
    <w:r>
      <w:rPr>
        <w:rFonts w:ascii="Times New Roman" w:hAnsi="Times New Roman" w:cs="Times New Roman"/>
        <w:b/>
        <w:noProof/>
        <w:sz w:val="20"/>
        <w:szCs w:val="20"/>
      </w:rPr>
      <w:pict w14:anchorId="111555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61" o:spid="_x0000_s2051" type="#_x0000_t75" style="position:absolute;left:0;text-align:left;margin-left:0;margin-top:0;width:430.15pt;height:241.9pt;z-index:-251656192;mso-position-horizontal:center;mso-position-horizontal-relative:margin;mso-position-vertical:center;mso-position-vertical-relative:margin" o:allowincell="f">
          <v:imagedata r:id="rId1" o:title="fundo-branco"/>
          <w10:wrap anchorx="margin" anchory="margin"/>
        </v:shape>
      </w:pict>
    </w:r>
    <w:r w:rsidR="009A62CD" w:rsidRPr="001A75E0">
      <w:rPr>
        <w:rFonts w:ascii="Times New Roman" w:hAnsi="Times New Roman" w:cs="Times New Roman"/>
        <w:b/>
        <w:sz w:val="20"/>
        <w:szCs w:val="20"/>
      </w:rPr>
      <w:t xml:space="preserve">Universidade Federal da Paraíba  </w:t>
    </w:r>
    <w:r w:rsidR="009A62CD" w:rsidRPr="001A75E0">
      <w:rPr>
        <w:rFonts w:ascii="Times New Roman" w:hAnsi="Times New Roman" w:cs="Times New Roman"/>
        <w:b/>
        <w:sz w:val="20"/>
        <w:szCs w:val="20"/>
      </w:rPr>
      <w:sym w:font="Symbol" w:char="F0A8"/>
    </w:r>
    <w:r w:rsidR="009A62CD" w:rsidRPr="001A75E0">
      <w:rPr>
        <w:rFonts w:ascii="Times New Roman" w:hAnsi="Times New Roman" w:cs="Times New Roman"/>
        <w:b/>
        <w:sz w:val="20"/>
        <w:szCs w:val="20"/>
      </w:rPr>
      <w:t xml:space="preserve">  Vocabulário Político da Antiguidade</w:t>
    </w:r>
  </w:p>
  <w:p w14:paraId="6DF0C073" w14:textId="4212FEA3" w:rsidR="009A62CD" w:rsidRPr="001A75E0" w:rsidRDefault="009A62CD" w:rsidP="009A62CD">
    <w:pPr>
      <w:pStyle w:val="SemEspaamento"/>
      <w:jc w:val="both"/>
      <w:rPr>
        <w:rStyle w:val="fontstyle01"/>
        <w:rFonts w:ascii="Times New Roman" w:hAnsi="Times New Roman" w:cs="Times New Roman"/>
        <w:sz w:val="20"/>
        <w:szCs w:val="20"/>
      </w:rPr>
    </w:pPr>
    <w:r w:rsidRPr="001A75E0">
      <w:rPr>
        <w:rStyle w:val="fontstyle01"/>
        <w:rFonts w:ascii="Times New Roman" w:hAnsi="Times New Roman" w:cs="Times New Roman"/>
        <w:sz w:val="20"/>
        <w:szCs w:val="20"/>
      </w:rPr>
      <w:t xml:space="preserve">Docentes: Priscilla Gontijo Leite </w:t>
    </w:r>
    <w:r w:rsidRPr="001A75E0">
      <w:rPr>
        <w:rStyle w:val="fontstyle21"/>
        <w:rFonts w:ascii="Times New Roman" w:hAnsi="Times New Roman" w:cs="Times New Roman"/>
        <w:sz w:val="20"/>
        <w:szCs w:val="20"/>
      </w:rPr>
      <w:t xml:space="preserve">e </w:t>
    </w:r>
    <w:r w:rsidRPr="001A75E0">
      <w:rPr>
        <w:rStyle w:val="fontstyle01"/>
        <w:rFonts w:ascii="Times New Roman" w:hAnsi="Times New Roman" w:cs="Times New Roman"/>
        <w:sz w:val="20"/>
        <w:szCs w:val="20"/>
      </w:rPr>
      <w:t xml:space="preserve">Lucas </w:t>
    </w:r>
    <w:proofErr w:type="spellStart"/>
    <w:r w:rsidRPr="001A75E0">
      <w:rPr>
        <w:rStyle w:val="fontstyle01"/>
        <w:rFonts w:ascii="Times New Roman" w:hAnsi="Times New Roman" w:cs="Times New Roman"/>
        <w:sz w:val="20"/>
        <w:szCs w:val="20"/>
      </w:rPr>
      <w:t>Consolin</w:t>
    </w:r>
    <w:proofErr w:type="spellEnd"/>
    <w:r w:rsidRPr="001A75E0">
      <w:rPr>
        <w:rStyle w:val="fontstyle01"/>
        <w:rFonts w:ascii="Times New Roman" w:hAnsi="Times New Roman" w:cs="Times New Roman"/>
        <w:sz w:val="20"/>
        <w:szCs w:val="20"/>
      </w:rPr>
      <w:t xml:space="preserve"> </w:t>
    </w:r>
    <w:proofErr w:type="spellStart"/>
    <w:r w:rsidRPr="001A75E0">
      <w:rPr>
        <w:rStyle w:val="fontstyle01"/>
        <w:rFonts w:ascii="Times New Roman" w:hAnsi="Times New Roman" w:cs="Times New Roman"/>
        <w:sz w:val="20"/>
        <w:szCs w:val="20"/>
      </w:rPr>
      <w:t>Dezotti</w:t>
    </w:r>
    <w:proofErr w:type="spellEnd"/>
    <w:r w:rsidRPr="001A75E0">
      <w:rPr>
        <w:rStyle w:val="fontstyle01"/>
        <w:rFonts w:ascii="Times New Roman" w:hAnsi="Times New Roman" w:cs="Times New Roman"/>
        <w:sz w:val="20"/>
        <w:szCs w:val="20"/>
      </w:rPr>
      <w:t xml:space="preserve">  </w:t>
    </w:r>
    <w:r w:rsidRPr="001A75E0">
      <w:rPr>
        <w:rFonts w:ascii="Times New Roman" w:hAnsi="Times New Roman" w:cs="Times New Roman"/>
        <w:b/>
        <w:bCs/>
        <w:sz w:val="20"/>
        <w:szCs w:val="20"/>
      </w:rPr>
      <w:sym w:font="Symbol" w:char="F0A8"/>
    </w:r>
    <w:r w:rsidRPr="001A75E0">
      <w:rPr>
        <w:rFonts w:ascii="Times New Roman" w:hAnsi="Times New Roman" w:cs="Times New Roman"/>
        <w:b/>
        <w:bCs/>
        <w:sz w:val="20"/>
        <w:szCs w:val="20"/>
      </w:rPr>
      <w:t xml:space="preserve">  </w:t>
    </w:r>
    <w:r w:rsidRPr="001A75E0">
      <w:rPr>
        <w:rStyle w:val="fontstyle21"/>
        <w:rFonts w:ascii="Times New Roman" w:hAnsi="Times New Roman" w:cs="Times New Roman"/>
        <w:sz w:val="20"/>
        <w:szCs w:val="20"/>
      </w:rPr>
      <w:t xml:space="preserve">Discente: </w:t>
    </w:r>
    <w:r w:rsidR="00D22BCA" w:rsidRPr="00D22BCA">
      <w:rPr>
        <w:rStyle w:val="fontstyle21"/>
        <w:rFonts w:ascii="Times New Roman" w:hAnsi="Times New Roman" w:cs="Times New Roman"/>
        <w:b w:val="0"/>
        <w:bCs w:val="0"/>
        <w:sz w:val="20"/>
        <w:szCs w:val="20"/>
      </w:rPr>
      <w:t>Júlia Ribeiro Pimentel</w:t>
    </w:r>
  </w:p>
  <w:p w14:paraId="62F2FD8D" w14:textId="0FDED194" w:rsidR="009A62CD" w:rsidRPr="009A62CD" w:rsidRDefault="009A62CD" w:rsidP="009A62CD">
    <w:pPr>
      <w:pStyle w:val="SemEspaamento"/>
      <w:jc w:val="both"/>
      <w:rPr>
        <w:rFonts w:ascii="Times New Roman" w:hAnsi="Times New Roman" w:cs="Times New Roman"/>
        <w:sz w:val="20"/>
        <w:szCs w:val="20"/>
        <w:u w:val="single"/>
      </w:rPr>
    </w:pPr>
    <w:r w:rsidRPr="001A75E0">
      <w:rPr>
        <w:rStyle w:val="fontstyle01"/>
        <w:rFonts w:ascii="Times New Roman" w:hAnsi="Times New Roman" w:cs="Times New Roman"/>
        <w:sz w:val="20"/>
        <w:szCs w:val="20"/>
      </w:rPr>
      <w:t xml:space="preserve">Site: </w:t>
    </w:r>
    <w:r w:rsidRPr="001A75E0">
      <w:rPr>
        <w:rFonts w:ascii="Times New Roman" w:hAnsi="Times New Roman" w:cs="Times New Roman"/>
        <w:sz w:val="20"/>
        <w:szCs w:val="20"/>
        <w:u w:val="single"/>
      </w:rPr>
      <w:t>http://www.cchla.ufpb.br/laborhis/vocabulario-politico/</w:t>
    </w:r>
    <w:r w:rsidR="006E483D">
      <w:rPr>
        <w:rFonts w:ascii="Times New Roman" w:hAnsi="Times New Roman" w:cs="Times New Roman"/>
        <w:sz w:val="20"/>
        <w:szCs w:val="20"/>
        <w:u w:val="single"/>
      </w:rPr>
      <w:t xml:space="preserve"> </w:t>
    </w:r>
  </w:p>
  <w:p w14:paraId="00A4C752" w14:textId="77777777" w:rsidR="009A62CD" w:rsidRDefault="009A62CD">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64D02F" w14:textId="410FC435" w:rsidR="009A62CD" w:rsidRDefault="006E483D">
    <w:pPr>
      <w:pStyle w:val="Cabealho"/>
    </w:pPr>
    <w:r>
      <w:rPr>
        <w:noProof/>
      </w:rPr>
      <w:pict w14:anchorId="14E6EE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48359" o:spid="_x0000_s2049" type="#_x0000_t75" style="position:absolute;margin-left:0;margin-top:0;width:430.15pt;height:241.9pt;z-index:-251658240;mso-position-horizontal:center;mso-position-horizontal-relative:margin;mso-position-vertical:center;mso-position-vertical-relative:margin" o:allowincell="f">
          <v:imagedata r:id="rId1" o:title="fundo-branco"/>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82C"/>
    <w:rsid w:val="0020182C"/>
    <w:rsid w:val="006E483D"/>
    <w:rsid w:val="008C1CAF"/>
    <w:rsid w:val="008C741B"/>
    <w:rsid w:val="00907B5A"/>
    <w:rsid w:val="00936D2C"/>
    <w:rsid w:val="009A62CD"/>
    <w:rsid w:val="00C07904"/>
    <w:rsid w:val="00D22BCA"/>
    <w:rsid w:val="00D51675"/>
    <w:rsid w:val="00D65087"/>
    <w:rsid w:val="00D709A4"/>
    <w:rsid w:val="00DD143F"/>
    <w:rsid w:val="00DE55FB"/>
    <w:rsid w:val="00DF7F32"/>
    <w:rsid w:val="00EB51F9"/>
    <w:rsid w:val="00EC3102"/>
    <w:rsid w:val="00F359D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BEDEDBE"/>
  <w15:chartTrackingRefBased/>
  <w15:docId w15:val="{9680B81B-7588-43E0-B4AF-BD7FC8EC5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483D"/>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C07904"/>
    <w:pPr>
      <w:spacing w:after="0" w:line="240" w:lineRule="auto"/>
    </w:pPr>
  </w:style>
  <w:style w:type="character" w:customStyle="1" w:styleId="fontstyle01">
    <w:name w:val="fontstyle01"/>
    <w:basedOn w:val="Fontepargpadro"/>
    <w:rsid w:val="00C07904"/>
    <w:rPr>
      <w:rFonts w:ascii="Helvetica-Normal" w:hAnsi="Helvetica-Normal" w:hint="default"/>
      <w:b w:val="0"/>
      <w:bCs w:val="0"/>
      <w:i w:val="0"/>
      <w:iCs w:val="0"/>
      <w:color w:val="231F20"/>
      <w:sz w:val="40"/>
      <w:szCs w:val="40"/>
    </w:rPr>
  </w:style>
  <w:style w:type="character" w:customStyle="1" w:styleId="fontstyle21">
    <w:name w:val="fontstyle21"/>
    <w:basedOn w:val="Fontepargpadro"/>
    <w:rsid w:val="00C07904"/>
    <w:rPr>
      <w:rFonts w:ascii="Helvetica-Bold" w:hAnsi="Helvetica-Bold" w:hint="default"/>
      <w:b/>
      <w:bCs/>
      <w:i w:val="0"/>
      <w:iCs w:val="0"/>
      <w:color w:val="231F20"/>
      <w:sz w:val="36"/>
      <w:szCs w:val="36"/>
    </w:rPr>
  </w:style>
  <w:style w:type="paragraph" w:styleId="Cabealho">
    <w:name w:val="header"/>
    <w:basedOn w:val="Normal"/>
    <w:link w:val="CabealhoChar"/>
    <w:uiPriority w:val="99"/>
    <w:unhideWhenUsed/>
    <w:rsid w:val="009A62CD"/>
    <w:pPr>
      <w:tabs>
        <w:tab w:val="center" w:pos="4252"/>
        <w:tab w:val="right" w:pos="8504"/>
      </w:tabs>
      <w:spacing w:line="240" w:lineRule="auto"/>
    </w:pPr>
    <w:rPr>
      <w:rFonts w:asciiTheme="minorHAnsi" w:eastAsiaTheme="minorHAnsi" w:hAnsiTheme="minorHAnsi" w:cstheme="minorBidi"/>
      <w:lang w:eastAsia="en-US"/>
    </w:rPr>
  </w:style>
  <w:style w:type="character" w:customStyle="1" w:styleId="CabealhoChar">
    <w:name w:val="Cabeçalho Char"/>
    <w:basedOn w:val="Fontepargpadro"/>
    <w:link w:val="Cabealho"/>
    <w:uiPriority w:val="99"/>
    <w:rsid w:val="009A62CD"/>
  </w:style>
  <w:style w:type="paragraph" w:styleId="Rodap">
    <w:name w:val="footer"/>
    <w:basedOn w:val="Normal"/>
    <w:link w:val="RodapChar"/>
    <w:uiPriority w:val="99"/>
    <w:unhideWhenUsed/>
    <w:rsid w:val="009A62CD"/>
    <w:pPr>
      <w:tabs>
        <w:tab w:val="center" w:pos="4252"/>
        <w:tab w:val="right" w:pos="8504"/>
      </w:tabs>
      <w:spacing w:line="240" w:lineRule="auto"/>
    </w:pPr>
    <w:rPr>
      <w:rFonts w:asciiTheme="minorHAnsi" w:eastAsiaTheme="minorHAnsi" w:hAnsiTheme="minorHAnsi" w:cstheme="minorBidi"/>
      <w:lang w:eastAsia="en-US"/>
    </w:rPr>
  </w:style>
  <w:style w:type="character" w:customStyle="1" w:styleId="RodapChar">
    <w:name w:val="Rodapé Char"/>
    <w:basedOn w:val="Fontepargpadro"/>
    <w:link w:val="Rodap"/>
    <w:uiPriority w:val="99"/>
    <w:rsid w:val="009A62CD"/>
  </w:style>
  <w:style w:type="paragraph" w:styleId="Ttulo">
    <w:name w:val="Title"/>
    <w:basedOn w:val="Normal"/>
    <w:next w:val="Normal"/>
    <w:link w:val="TtuloChar"/>
    <w:uiPriority w:val="10"/>
    <w:qFormat/>
    <w:rsid w:val="006E483D"/>
    <w:pPr>
      <w:keepNext/>
      <w:keepLines/>
      <w:spacing w:line="360" w:lineRule="auto"/>
    </w:pPr>
    <w:rPr>
      <w:rFonts w:ascii="Times New Roman" w:eastAsia="Times New Roman" w:hAnsi="Times New Roman" w:cs="Times New Roman"/>
      <w:b/>
      <w:sz w:val="24"/>
      <w:szCs w:val="24"/>
    </w:rPr>
  </w:style>
  <w:style w:type="character" w:customStyle="1" w:styleId="TtuloChar">
    <w:name w:val="Título Char"/>
    <w:basedOn w:val="Fontepargpadro"/>
    <w:link w:val="Ttulo"/>
    <w:uiPriority w:val="10"/>
    <w:rsid w:val="006E483D"/>
    <w:rPr>
      <w:rFonts w:ascii="Times New Roman" w:eastAsia="Times New Roman" w:hAnsi="Times New Roman" w:cs="Times New Roman"/>
      <w:b/>
      <w:sz w:val="24"/>
      <w:szCs w:val="24"/>
      <w:lang w:eastAsia="pt-BR"/>
    </w:rPr>
  </w:style>
  <w:style w:type="character" w:styleId="Hyperlink">
    <w:name w:val="Hyperlink"/>
    <w:basedOn w:val="Fontepargpadro"/>
    <w:uiPriority w:val="99"/>
    <w:unhideWhenUsed/>
    <w:rsid w:val="006E483D"/>
    <w:rPr>
      <w:color w:val="0563C1" w:themeColor="hyperlink"/>
      <w:u w:val="single"/>
    </w:rPr>
  </w:style>
  <w:style w:type="character" w:styleId="MenoPendente">
    <w:name w:val="Unresolved Mention"/>
    <w:basedOn w:val="Fontepargpadro"/>
    <w:uiPriority w:val="99"/>
    <w:semiHidden/>
    <w:unhideWhenUsed/>
    <w:rsid w:val="006E48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0490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7</Pages>
  <Words>2709</Words>
  <Characters>14632</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Laryssa Alves</dc:creator>
  <cp:keywords/>
  <dc:description/>
  <cp:lastModifiedBy>r.julia_gt@yahoo.com.br</cp:lastModifiedBy>
  <cp:revision>14</cp:revision>
  <dcterms:created xsi:type="dcterms:W3CDTF">2019-11-26T14:25:00Z</dcterms:created>
  <dcterms:modified xsi:type="dcterms:W3CDTF">2024-05-08T19:19:00Z</dcterms:modified>
</cp:coreProperties>
</file>