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F89C6B" w14:textId="77777777" w:rsidR="004767A3" w:rsidRPr="004767A3" w:rsidRDefault="004767A3" w:rsidP="004767A3">
      <w:pPr>
        <w:keepNext/>
        <w:keepLines/>
        <w:spacing w:after="0" w:line="360" w:lineRule="auto"/>
        <w:jc w:val="center"/>
        <w:rPr>
          <w:rFonts w:ascii="Times New Roman" w:eastAsia="Times New Roman" w:hAnsi="Times New Roman" w:cs="Times New Roman"/>
          <w:b/>
          <w:sz w:val="24"/>
          <w:szCs w:val="24"/>
          <w:lang w:eastAsia="pt-BR"/>
        </w:rPr>
      </w:pPr>
      <w:r w:rsidRPr="004767A3">
        <w:rPr>
          <w:rFonts w:ascii="Times New Roman" w:eastAsia="Times New Roman" w:hAnsi="Times New Roman" w:cs="Times New Roman"/>
          <w:b/>
          <w:sz w:val="24"/>
          <w:szCs w:val="24"/>
          <w:lang w:eastAsia="pt-BR"/>
        </w:rPr>
        <w:t>Tarefa:</w:t>
      </w:r>
      <w:r w:rsidRPr="004767A3">
        <w:rPr>
          <w:rFonts w:ascii="Times New Roman" w:eastAsia="Times New Roman" w:hAnsi="Times New Roman" w:cs="Times New Roman"/>
          <w:b/>
          <w:color w:val="FF0000"/>
          <w:sz w:val="24"/>
          <w:szCs w:val="24"/>
          <w:lang w:eastAsia="pt-BR"/>
        </w:rPr>
        <w:t xml:space="preserve"> </w:t>
      </w:r>
      <w:r w:rsidRPr="004767A3">
        <w:rPr>
          <w:rFonts w:ascii="Times New Roman" w:eastAsia="Times New Roman" w:hAnsi="Times New Roman" w:cs="Times New Roman"/>
          <w:b/>
          <w:sz w:val="24"/>
          <w:szCs w:val="24"/>
          <w:lang w:eastAsia="pt-BR"/>
        </w:rPr>
        <w:t>A SOCIEDADE</w:t>
      </w:r>
    </w:p>
    <w:p w14:paraId="7D76B43E" w14:textId="77777777" w:rsidR="004767A3" w:rsidRDefault="004767A3" w:rsidP="004767A3">
      <w:pPr>
        <w:spacing w:after="0" w:line="360" w:lineRule="auto"/>
        <w:rPr>
          <w:rFonts w:ascii="Times New Roman" w:eastAsia="Times New Roman" w:hAnsi="Times New Roman" w:cs="Times New Roman"/>
          <w:bCs/>
          <w:sz w:val="24"/>
          <w:szCs w:val="24"/>
          <w:lang w:eastAsia="pt-BR"/>
        </w:rPr>
      </w:pPr>
    </w:p>
    <w:p w14:paraId="4DEDB1F2" w14:textId="77777777" w:rsidR="004767A3" w:rsidRDefault="004767A3" w:rsidP="004767A3">
      <w:pPr>
        <w:spacing w:after="0" w:line="360" w:lineRule="auto"/>
        <w:jc w:val="both"/>
        <w:rPr>
          <w:rFonts w:ascii="Times New Roman" w:eastAsia="Times New Roman" w:hAnsi="Times New Roman" w:cs="Times New Roman"/>
          <w:sz w:val="24"/>
          <w:szCs w:val="24"/>
          <w:lang w:eastAsia="pt-BR"/>
        </w:rPr>
      </w:pPr>
      <w:r>
        <w:rPr>
          <w:rFonts w:ascii="Times New Roman" w:eastAsia="Times New Roman" w:hAnsi="Times New Roman" w:cs="Times New Roman"/>
          <w:b/>
          <w:sz w:val="24"/>
          <w:szCs w:val="24"/>
          <w:lang w:eastAsia="pt-BR"/>
        </w:rPr>
        <w:t>Introdução:</w:t>
      </w:r>
      <w:r>
        <w:rPr>
          <w:rFonts w:ascii="Times New Roman" w:eastAsia="Times New Roman" w:hAnsi="Times New Roman" w:cs="Times New Roman"/>
          <w:color w:val="00B0F0"/>
          <w:sz w:val="24"/>
          <w:szCs w:val="24"/>
          <w:lang w:eastAsia="pt-BR"/>
        </w:rPr>
        <w:t xml:space="preserve"> </w:t>
      </w:r>
      <w:r>
        <w:rPr>
          <w:rFonts w:ascii="Times New Roman" w:eastAsia="Times New Roman" w:hAnsi="Times New Roman" w:cs="Times New Roman"/>
          <w:sz w:val="24"/>
          <w:szCs w:val="24"/>
          <w:lang w:eastAsia="pt-BR"/>
        </w:rPr>
        <w:t xml:space="preserve">No livro didático, você e os colegas aprenderam que a sociedade antiga grega era bem estratificada e que a base da economia era a agricultura. Havia aristocratas, soldados e estrangeiros com nomes diferentes em Atenas e Esparta. Mas e as mulheres? E os trabalhadores urbanos como o comerciante, o artesão e os homens do mar? E o agricultor? Vamos conhecer mais sobre o cotidiano desses moradores? </w:t>
      </w:r>
    </w:p>
    <w:p w14:paraId="32D081D5" w14:textId="77777777" w:rsidR="004767A3" w:rsidRDefault="004767A3" w:rsidP="004767A3">
      <w:pPr>
        <w:spacing w:after="0" w:line="360" w:lineRule="auto"/>
        <w:ind w:firstLine="860"/>
        <w:jc w:val="both"/>
        <w:rPr>
          <w:rFonts w:ascii="Times New Roman" w:eastAsia="Times New Roman" w:hAnsi="Times New Roman" w:cs="Times New Roman"/>
          <w:sz w:val="24"/>
          <w:szCs w:val="24"/>
          <w:lang w:eastAsia="pt-BR"/>
        </w:rPr>
      </w:pPr>
    </w:p>
    <w:p w14:paraId="041197F5" w14:textId="77777777" w:rsidR="004767A3" w:rsidRDefault="004767A3" w:rsidP="004767A3">
      <w:pPr>
        <w:keepNext/>
        <w:keepLines/>
        <w:spacing w:after="0" w:line="360" w:lineRule="auto"/>
        <w:jc w:val="both"/>
        <w:rPr>
          <w:rFonts w:ascii="Times New Roman" w:eastAsia="Times New Roman" w:hAnsi="Times New Roman" w:cs="Times New Roman"/>
          <w:b/>
          <w:sz w:val="24"/>
          <w:szCs w:val="24"/>
          <w:lang w:eastAsia="pt-BR"/>
        </w:rPr>
      </w:pPr>
      <w:bookmarkStart w:id="0" w:name="_3dy6vkm"/>
      <w:bookmarkEnd w:id="0"/>
      <w:r>
        <w:rPr>
          <w:rFonts w:ascii="Times New Roman" w:eastAsia="Times New Roman" w:hAnsi="Times New Roman" w:cs="Times New Roman"/>
          <w:b/>
          <w:sz w:val="24"/>
          <w:szCs w:val="24"/>
          <w:lang w:eastAsia="pt-BR"/>
        </w:rPr>
        <w:t xml:space="preserve">MULHERES (Tarefa do tipo criativa) </w:t>
      </w:r>
    </w:p>
    <w:p w14:paraId="31FF41BC" w14:textId="77777777" w:rsidR="004767A3" w:rsidRDefault="004767A3" w:rsidP="004767A3">
      <w:pPr>
        <w:keepNext/>
        <w:keepLines/>
        <w:spacing w:after="0" w:line="360" w:lineRule="auto"/>
        <w:jc w:val="both"/>
        <w:rPr>
          <w:rFonts w:ascii="Times New Roman" w:eastAsia="Times New Roman" w:hAnsi="Times New Roman" w:cs="Times New Roman"/>
          <w:b/>
          <w:sz w:val="24"/>
          <w:szCs w:val="24"/>
          <w:lang w:eastAsia="pt-BR"/>
        </w:rPr>
      </w:pPr>
      <w:bookmarkStart w:id="1" w:name="_2es5ea1wnka6"/>
      <w:bookmarkEnd w:id="1"/>
      <w:r>
        <w:rPr>
          <w:rFonts w:ascii="Times New Roman" w:eastAsia="Times New Roman" w:hAnsi="Times New Roman" w:cs="Times New Roman"/>
          <w:b/>
          <w:sz w:val="24"/>
          <w:szCs w:val="24"/>
          <w:lang w:eastAsia="pt-BR"/>
        </w:rPr>
        <w:t xml:space="preserve">Introdução: </w:t>
      </w:r>
      <w:r>
        <w:rPr>
          <w:rFonts w:ascii="Times New Roman" w:eastAsia="Times New Roman" w:hAnsi="Times New Roman" w:cs="Times New Roman"/>
          <w:sz w:val="24"/>
          <w:szCs w:val="24"/>
          <w:lang w:eastAsia="pt-BR"/>
        </w:rPr>
        <w:t>Antes de tudo, para entender em que lugar a mulher se encontrava socialmente é preciso saber qual seu status na sociedade, isto é, ela é uma mulher solteira ou casada, de uma família nobre ou não, ela tem bens ou está marginalizada. Existem algumas outras dúvidas que sempre surgem como: as mulheres de hoje são diferentes das de 300 a.C.; elas trabalhavam; elas tinham direitos; eram cidadãs?</w:t>
      </w:r>
    </w:p>
    <w:p w14:paraId="288997D3" w14:textId="77777777" w:rsidR="004767A3" w:rsidRDefault="004767A3" w:rsidP="004767A3">
      <w:pPr>
        <w:spacing w:after="0" w:line="360" w:lineRule="auto"/>
        <w:jc w:val="both"/>
        <w:rPr>
          <w:rFonts w:ascii="Times New Roman" w:eastAsia="Times New Roman" w:hAnsi="Times New Roman" w:cs="Times New Roman"/>
          <w:b/>
          <w:sz w:val="24"/>
          <w:szCs w:val="24"/>
          <w:lang w:eastAsia="pt-BR"/>
        </w:rPr>
      </w:pPr>
    </w:p>
    <w:p w14:paraId="41923AEA" w14:textId="77777777" w:rsidR="004767A3" w:rsidRDefault="004767A3" w:rsidP="004767A3">
      <w:pPr>
        <w:spacing w:after="0" w:line="360" w:lineRule="auto"/>
        <w:jc w:val="both"/>
        <w:rPr>
          <w:rFonts w:ascii="Times New Roman" w:eastAsia="Times New Roman" w:hAnsi="Times New Roman" w:cs="Times New Roman"/>
          <w:b/>
          <w:sz w:val="24"/>
          <w:szCs w:val="24"/>
          <w:lang w:eastAsia="pt-BR"/>
        </w:rPr>
      </w:pPr>
      <w:r>
        <w:rPr>
          <w:rFonts w:ascii="Times New Roman" w:eastAsia="Times New Roman" w:hAnsi="Times New Roman" w:cs="Times New Roman"/>
          <w:b/>
          <w:sz w:val="24"/>
          <w:szCs w:val="24"/>
          <w:lang w:eastAsia="pt-BR"/>
        </w:rPr>
        <w:t>Desenvolvimento:</w:t>
      </w:r>
    </w:p>
    <w:p w14:paraId="21EB04DE" w14:textId="77777777" w:rsidR="004767A3" w:rsidRDefault="004767A3" w:rsidP="004767A3">
      <w:pPr>
        <w:spacing w:after="0" w:line="360" w:lineRule="auto"/>
        <w:jc w:val="both"/>
        <w:rPr>
          <w:rFonts w:ascii="Times New Roman" w:eastAsia="Times New Roman" w:hAnsi="Times New Roman" w:cs="Times New Roman"/>
          <w:sz w:val="24"/>
          <w:szCs w:val="24"/>
          <w:lang w:eastAsia="pt-BR"/>
        </w:rPr>
      </w:pPr>
      <w:r>
        <w:rPr>
          <w:rFonts w:ascii="Times New Roman" w:eastAsia="Times New Roman" w:hAnsi="Times New Roman" w:cs="Times New Roman"/>
          <w:b/>
          <w:sz w:val="24"/>
          <w:szCs w:val="24"/>
          <w:lang w:eastAsia="pt-BR"/>
        </w:rPr>
        <w:t>Passo 1:</w:t>
      </w:r>
      <w:r>
        <w:rPr>
          <w:rFonts w:ascii="Times New Roman" w:eastAsia="Times New Roman" w:hAnsi="Times New Roman" w:cs="Times New Roman"/>
          <w:sz w:val="24"/>
          <w:szCs w:val="24"/>
          <w:lang w:eastAsia="pt-BR"/>
        </w:rPr>
        <w:t xml:space="preserve"> A sala deve se dividir em 5 equipes e cada uma ficará responsável por ler um artigo acessando os links indicados abaixo:</w:t>
      </w:r>
    </w:p>
    <w:p w14:paraId="502674AA" w14:textId="77777777" w:rsidR="004767A3" w:rsidRDefault="004767A3" w:rsidP="004767A3">
      <w:pPr>
        <w:numPr>
          <w:ilvl w:val="0"/>
          <w:numId w:val="1"/>
        </w:numPr>
        <w:spacing w:after="0" w:line="360" w:lineRule="auto"/>
        <w:jc w:val="both"/>
        <w:rPr>
          <w:rFonts w:ascii="Times New Roman" w:eastAsia="Times New Roman" w:hAnsi="Times New Roman" w:cs="Times New Roman"/>
          <w:sz w:val="24"/>
          <w:szCs w:val="24"/>
          <w:lang w:eastAsia="pt-BR"/>
        </w:rPr>
      </w:pPr>
      <w:hyperlink r:id="rId7" w:history="1">
        <w:r>
          <w:rPr>
            <w:rStyle w:val="Hyperlink"/>
            <w:rFonts w:ascii="Times New Roman" w:eastAsia="Times New Roman" w:hAnsi="Times New Roman" w:cs="Times New Roman"/>
            <w:color w:val="1155CC"/>
            <w:sz w:val="24"/>
            <w:szCs w:val="24"/>
            <w:lang w:eastAsia="pt-BR"/>
          </w:rPr>
          <w:t>https://musea-archive.univ-angers.fr/exhibits/show/sair-do-gineceu--um-novo-olhar/eternas-menores-</w:t>
        </w:r>
      </w:hyperlink>
      <w:r>
        <w:rPr>
          <w:rFonts w:ascii="Times New Roman" w:eastAsia="Times New Roman" w:hAnsi="Times New Roman" w:cs="Times New Roman"/>
          <w:sz w:val="24"/>
          <w:szCs w:val="24"/>
          <w:lang w:eastAsia="pt-BR"/>
        </w:rPr>
        <w:t xml:space="preserve"> (LEIA O TEXTO “Mulheres no trabalho”).</w:t>
      </w:r>
    </w:p>
    <w:p w14:paraId="6E568A8D" w14:textId="77777777" w:rsidR="004767A3" w:rsidRDefault="004767A3" w:rsidP="004767A3">
      <w:pPr>
        <w:spacing w:after="0" w:line="360" w:lineRule="auto"/>
        <w:jc w:val="both"/>
        <w:rPr>
          <w:rFonts w:ascii="Times New Roman" w:eastAsia="Times New Roman" w:hAnsi="Times New Roman" w:cs="Times New Roman"/>
          <w:sz w:val="24"/>
          <w:szCs w:val="24"/>
          <w:lang w:eastAsia="pt-BR"/>
        </w:rPr>
      </w:pPr>
    </w:p>
    <w:p w14:paraId="090E398A" w14:textId="77777777" w:rsidR="004767A3" w:rsidRDefault="004767A3" w:rsidP="004767A3">
      <w:pPr>
        <w:numPr>
          <w:ilvl w:val="0"/>
          <w:numId w:val="2"/>
        </w:numPr>
        <w:spacing w:after="0" w:line="360" w:lineRule="auto"/>
        <w:jc w:val="both"/>
        <w:rPr>
          <w:rFonts w:ascii="Times New Roman" w:eastAsia="Times New Roman" w:hAnsi="Times New Roman" w:cs="Times New Roman"/>
          <w:sz w:val="24"/>
          <w:szCs w:val="24"/>
          <w:lang w:eastAsia="pt-BR"/>
        </w:rPr>
      </w:pPr>
      <w:hyperlink r:id="rId8" w:history="1">
        <w:r>
          <w:rPr>
            <w:rStyle w:val="Hyperlink"/>
            <w:rFonts w:ascii="Times New Roman" w:eastAsia="Times New Roman" w:hAnsi="Times New Roman" w:cs="Times New Roman"/>
            <w:color w:val="1155CC"/>
            <w:sz w:val="24"/>
            <w:szCs w:val="24"/>
            <w:lang w:eastAsia="pt-BR"/>
          </w:rPr>
          <w:t>https://musea-archive.univ-angers.fr/exhibits/show/sair-do-gineceu--um-novo-olhar/n--o-cidad--s-</w:t>
        </w:r>
      </w:hyperlink>
      <w:r>
        <w:rPr>
          <w:rFonts w:ascii="Times New Roman" w:eastAsia="Times New Roman" w:hAnsi="Times New Roman" w:cs="Times New Roman"/>
          <w:sz w:val="24"/>
          <w:szCs w:val="24"/>
          <w:lang w:eastAsia="pt-BR"/>
        </w:rPr>
        <w:t xml:space="preserve"> (LEIA OS TEXTOS “Não-cidadãs?” e “O feminino de cidadão existe!”).</w:t>
      </w:r>
    </w:p>
    <w:p w14:paraId="01C20F6B" w14:textId="77777777" w:rsidR="004767A3" w:rsidRDefault="004767A3" w:rsidP="004767A3">
      <w:pPr>
        <w:spacing w:after="0" w:line="360" w:lineRule="auto"/>
        <w:jc w:val="both"/>
        <w:rPr>
          <w:rFonts w:ascii="Times New Roman" w:eastAsia="Times New Roman" w:hAnsi="Times New Roman" w:cs="Times New Roman"/>
          <w:sz w:val="24"/>
          <w:szCs w:val="24"/>
          <w:lang w:eastAsia="pt-BR"/>
        </w:rPr>
      </w:pPr>
    </w:p>
    <w:p w14:paraId="0CD63CC3" w14:textId="77777777" w:rsidR="004767A3" w:rsidRDefault="004767A3" w:rsidP="004767A3">
      <w:pPr>
        <w:numPr>
          <w:ilvl w:val="0"/>
          <w:numId w:val="3"/>
        </w:numPr>
        <w:spacing w:after="0" w:line="360" w:lineRule="auto"/>
        <w:jc w:val="both"/>
        <w:rPr>
          <w:rFonts w:ascii="Times New Roman" w:eastAsia="Times New Roman" w:hAnsi="Times New Roman" w:cs="Times New Roman"/>
          <w:sz w:val="24"/>
          <w:szCs w:val="24"/>
          <w:lang w:eastAsia="pt-BR"/>
        </w:rPr>
      </w:pPr>
      <w:hyperlink r:id="rId9" w:history="1">
        <w:r>
          <w:rPr>
            <w:rStyle w:val="Hyperlink"/>
            <w:rFonts w:ascii="Times New Roman" w:eastAsia="Times New Roman" w:hAnsi="Times New Roman" w:cs="Times New Roman"/>
            <w:color w:val="1155CC"/>
            <w:sz w:val="24"/>
            <w:szCs w:val="24"/>
            <w:lang w:eastAsia="pt-BR"/>
          </w:rPr>
          <w:t>https://musea-archive.univ-angers.fr/exhibits/show/sair-do-gineceu--um-novo-olhar/privadas-de-cultura-</w:t>
        </w:r>
      </w:hyperlink>
      <w:r>
        <w:rPr>
          <w:rFonts w:ascii="Times New Roman" w:eastAsia="Times New Roman" w:hAnsi="Times New Roman" w:cs="Times New Roman"/>
          <w:sz w:val="24"/>
          <w:szCs w:val="24"/>
          <w:lang w:eastAsia="pt-BR"/>
        </w:rPr>
        <w:t xml:space="preserve"> (LEIA O TEXTO “Privadas de cultura?”).</w:t>
      </w:r>
    </w:p>
    <w:p w14:paraId="11E5C3DC" w14:textId="77777777" w:rsidR="004767A3" w:rsidRDefault="004767A3" w:rsidP="004767A3">
      <w:pPr>
        <w:spacing w:after="0" w:line="360" w:lineRule="auto"/>
        <w:jc w:val="both"/>
        <w:rPr>
          <w:rFonts w:ascii="Times New Roman" w:eastAsia="Times New Roman" w:hAnsi="Times New Roman" w:cs="Times New Roman"/>
          <w:sz w:val="24"/>
          <w:szCs w:val="24"/>
          <w:lang w:eastAsia="pt-BR"/>
        </w:rPr>
      </w:pPr>
    </w:p>
    <w:p w14:paraId="3697902D" w14:textId="77777777" w:rsidR="004767A3" w:rsidRDefault="004767A3" w:rsidP="004767A3">
      <w:pPr>
        <w:numPr>
          <w:ilvl w:val="0"/>
          <w:numId w:val="4"/>
        </w:numPr>
        <w:spacing w:after="0" w:line="360" w:lineRule="auto"/>
        <w:jc w:val="both"/>
        <w:rPr>
          <w:rFonts w:ascii="Times New Roman" w:eastAsia="Times New Roman" w:hAnsi="Times New Roman" w:cs="Times New Roman"/>
          <w:sz w:val="24"/>
          <w:szCs w:val="24"/>
          <w:lang w:eastAsia="pt-BR"/>
        </w:rPr>
      </w:pPr>
      <w:hyperlink r:id="rId10" w:history="1">
        <w:r>
          <w:rPr>
            <w:rStyle w:val="Hyperlink"/>
            <w:rFonts w:ascii="Times New Roman" w:eastAsia="Times New Roman" w:hAnsi="Times New Roman" w:cs="Times New Roman"/>
            <w:color w:val="1155CC"/>
            <w:sz w:val="24"/>
            <w:szCs w:val="24"/>
            <w:lang w:eastAsia="pt-BR"/>
          </w:rPr>
          <w:t>https://musea-archive.univ-angers.fr/exhibits/show/sair-do-gineceu--um-novo-olhar/exclu--das-do-esporte-</w:t>
        </w:r>
      </w:hyperlink>
      <w:r>
        <w:rPr>
          <w:rFonts w:ascii="Times New Roman" w:eastAsia="Times New Roman" w:hAnsi="Times New Roman" w:cs="Times New Roman"/>
          <w:sz w:val="24"/>
          <w:szCs w:val="24"/>
          <w:lang w:eastAsia="pt-BR"/>
        </w:rPr>
        <w:t xml:space="preserve"> (LEIA O TEXTO “Heroínas atléticas”).</w:t>
      </w:r>
    </w:p>
    <w:p w14:paraId="6F82E0F4" w14:textId="77777777" w:rsidR="004767A3" w:rsidRDefault="004767A3" w:rsidP="004767A3">
      <w:pPr>
        <w:spacing w:after="0" w:line="360" w:lineRule="auto"/>
        <w:ind w:left="720"/>
        <w:jc w:val="both"/>
        <w:rPr>
          <w:rFonts w:ascii="Times New Roman" w:eastAsia="Times New Roman" w:hAnsi="Times New Roman" w:cs="Times New Roman"/>
          <w:sz w:val="24"/>
          <w:szCs w:val="24"/>
          <w:lang w:eastAsia="pt-BR"/>
        </w:rPr>
      </w:pPr>
    </w:p>
    <w:p w14:paraId="0AFCE7A1" w14:textId="77777777" w:rsidR="004767A3" w:rsidRDefault="004767A3" w:rsidP="004767A3">
      <w:pPr>
        <w:spacing w:after="0" w:line="360" w:lineRule="auto"/>
        <w:jc w:val="both"/>
        <w:rPr>
          <w:rFonts w:ascii="Times New Roman" w:eastAsia="Times New Roman" w:hAnsi="Times New Roman" w:cs="Times New Roman"/>
          <w:bCs/>
          <w:sz w:val="24"/>
          <w:szCs w:val="24"/>
          <w:lang w:eastAsia="pt-BR"/>
        </w:rPr>
      </w:pPr>
      <w:r>
        <w:rPr>
          <w:rFonts w:ascii="Times New Roman" w:eastAsia="Times New Roman" w:hAnsi="Times New Roman" w:cs="Times New Roman"/>
          <w:b/>
          <w:sz w:val="24"/>
          <w:szCs w:val="24"/>
          <w:lang w:eastAsia="pt-BR"/>
        </w:rPr>
        <w:t xml:space="preserve">Passo 2: </w:t>
      </w:r>
      <w:r>
        <w:rPr>
          <w:rFonts w:ascii="Times New Roman" w:eastAsia="Times New Roman" w:hAnsi="Times New Roman" w:cs="Times New Roman"/>
          <w:bCs/>
          <w:sz w:val="24"/>
          <w:szCs w:val="24"/>
          <w:lang w:eastAsia="pt-BR"/>
        </w:rPr>
        <w:t xml:space="preserve">Registre as informações coletadas. </w:t>
      </w:r>
    </w:p>
    <w:p w14:paraId="234ED00D" w14:textId="77777777" w:rsidR="004767A3" w:rsidRDefault="004767A3" w:rsidP="004767A3">
      <w:pPr>
        <w:spacing w:after="0" w:line="360" w:lineRule="auto"/>
        <w:jc w:val="both"/>
        <w:rPr>
          <w:rFonts w:ascii="Times New Roman" w:eastAsia="Times New Roman" w:hAnsi="Times New Roman" w:cs="Times New Roman"/>
          <w:sz w:val="24"/>
          <w:szCs w:val="24"/>
          <w:lang w:eastAsia="pt-BR"/>
        </w:rPr>
      </w:pPr>
      <w:r>
        <w:rPr>
          <w:rFonts w:ascii="Times New Roman" w:eastAsia="Times New Roman" w:hAnsi="Times New Roman" w:cs="Times New Roman"/>
          <w:b/>
          <w:sz w:val="24"/>
          <w:szCs w:val="24"/>
          <w:lang w:eastAsia="pt-BR"/>
        </w:rPr>
        <w:t xml:space="preserve">Passo 3: </w:t>
      </w:r>
      <w:r>
        <w:rPr>
          <w:rFonts w:ascii="Times New Roman" w:eastAsia="Times New Roman" w:hAnsi="Times New Roman" w:cs="Times New Roman"/>
          <w:sz w:val="24"/>
          <w:szCs w:val="24"/>
          <w:lang w:eastAsia="pt-BR"/>
        </w:rPr>
        <w:t>Agora vocês são poetas de Olímpia do séc. III a. C e irão retratar as mulheres da época. Inspirando-se nos artigos e nas peças arqueológicas, deverão escrever uma ode (poema lírico composto de estrofes de versos com medida igual, sempre de tom alegre e entusiástico) para sua musa, relacionando o passado da mulher na Grécia antiga com o lugar da mulher na sociedade nos dias de hoje.</w:t>
      </w:r>
    </w:p>
    <w:p w14:paraId="21903DEB" w14:textId="77777777" w:rsidR="004767A3" w:rsidRDefault="004767A3" w:rsidP="004767A3">
      <w:pPr>
        <w:spacing w:after="0" w:line="360" w:lineRule="auto"/>
        <w:jc w:val="both"/>
        <w:rPr>
          <w:rFonts w:ascii="Times New Roman" w:eastAsia="Times New Roman" w:hAnsi="Times New Roman" w:cs="Times New Roman"/>
          <w:sz w:val="24"/>
          <w:szCs w:val="24"/>
          <w:lang w:eastAsia="pt-BR"/>
        </w:rPr>
      </w:pPr>
    </w:p>
    <w:p w14:paraId="35A426E1" w14:textId="77777777" w:rsidR="004767A3" w:rsidRDefault="004767A3" w:rsidP="004767A3">
      <w:pPr>
        <w:spacing w:after="0" w:line="360" w:lineRule="auto"/>
        <w:jc w:val="both"/>
        <w:rPr>
          <w:rFonts w:ascii="Times New Roman" w:eastAsia="Times New Roman" w:hAnsi="Times New Roman" w:cs="Times New Roman"/>
          <w:sz w:val="24"/>
          <w:szCs w:val="24"/>
          <w:lang w:eastAsia="pt-BR"/>
        </w:rPr>
      </w:pPr>
      <w:r>
        <w:rPr>
          <w:rFonts w:ascii="Times New Roman" w:eastAsia="Times New Roman" w:hAnsi="Times New Roman" w:cs="Times New Roman"/>
          <w:b/>
          <w:sz w:val="24"/>
          <w:szCs w:val="24"/>
          <w:lang w:eastAsia="pt-BR"/>
        </w:rPr>
        <w:lastRenderedPageBreak/>
        <w:t>Conclusão:</w:t>
      </w:r>
      <w:r>
        <w:rPr>
          <w:rFonts w:ascii="Times New Roman" w:eastAsia="Times New Roman" w:hAnsi="Times New Roman" w:cs="Times New Roman"/>
          <w:sz w:val="24"/>
          <w:szCs w:val="24"/>
          <w:lang w:eastAsia="pt-BR"/>
        </w:rPr>
        <w:t xml:space="preserve"> Vocês perceberam como ler textos do século IV-V não é nada difícil? Viram também quantos mitos foram construídos sobre as mulheres e os trabalhadores da Grécia Antiga? É interessante perceber como existem tantas divergências a respeito de um tema tão simples quanto ofício ou gênero, mas quando fazemos esse tipo de estudo é primordial saber quem escreve (de que época, de que região, de qual classe social) para entendermos a fundo os ideais que elas representam. Saber como as pessoas de uma época pensavam sobre determinado assunto, é uma maneira estimulante de estudar uma época e ver quantas semelhanças ainda existem com o presente. </w:t>
      </w:r>
    </w:p>
    <w:p w14:paraId="75745CA7" w14:textId="77777777" w:rsidR="004767A3" w:rsidRDefault="004767A3" w:rsidP="004767A3">
      <w:pPr>
        <w:spacing w:after="0" w:line="360" w:lineRule="auto"/>
        <w:jc w:val="both"/>
        <w:rPr>
          <w:rFonts w:ascii="Times New Roman" w:eastAsia="Times New Roman" w:hAnsi="Times New Roman" w:cs="Times New Roman"/>
          <w:sz w:val="24"/>
          <w:szCs w:val="24"/>
          <w:lang w:eastAsia="pt-BR"/>
        </w:rPr>
      </w:pPr>
    </w:p>
    <w:p w14:paraId="0C13677C" w14:textId="77777777" w:rsidR="004767A3" w:rsidRDefault="004767A3" w:rsidP="004767A3">
      <w:pPr>
        <w:spacing w:after="0" w:line="360" w:lineRule="auto"/>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A</w:t>
      </w:r>
      <w:r>
        <w:rPr>
          <w:rFonts w:ascii="Times New Roman" w:eastAsia="Times New Roman" w:hAnsi="Times New Roman" w:cs="Times New Roman"/>
          <w:b/>
          <w:sz w:val="24"/>
          <w:szCs w:val="24"/>
          <w:lang w:eastAsia="pt-BR"/>
        </w:rPr>
        <w:t xml:space="preserve"> chave</w:t>
      </w:r>
      <w:r>
        <w:rPr>
          <w:rFonts w:ascii="Times New Roman" w:eastAsia="Times New Roman" w:hAnsi="Times New Roman" w:cs="Times New Roman"/>
          <w:sz w:val="24"/>
          <w:szCs w:val="24"/>
          <w:lang w:eastAsia="pt-BR"/>
        </w:rPr>
        <w:t xml:space="preserve"> para a próxima tarefa é o nome da heroína olímpica que virou lenda. </w:t>
      </w:r>
    </w:p>
    <w:p w14:paraId="5F75BA6A" w14:textId="400E4FBA" w:rsidR="004767A3" w:rsidRDefault="004767A3" w:rsidP="004767A3">
      <w:pPr>
        <w:jc w:val="center"/>
        <w:rPr>
          <w:rFonts w:ascii="Times New Roman" w:hAnsi="Times New Roman" w:cs="Times New Roman"/>
          <w:sz w:val="24"/>
          <w:szCs w:val="24"/>
        </w:rPr>
      </w:pPr>
      <w:r>
        <w:rPr>
          <w:rFonts w:ascii="Times New Roman" w:hAnsi="Times New Roman" w:cs="Times New Roman"/>
          <w:sz w:val="24"/>
          <w:szCs w:val="24"/>
        </w:rPr>
        <w:br w:type="page"/>
      </w:r>
      <w:r>
        <w:rPr>
          <w:rFonts w:ascii="Times New Roman" w:hAnsi="Times New Roman" w:cs="Times New Roman"/>
          <w:b/>
          <w:bCs/>
          <w:sz w:val="24"/>
          <w:szCs w:val="24"/>
        </w:rPr>
        <w:lastRenderedPageBreak/>
        <w:t>TRANSCRIÇÃO DA TAREFA</w:t>
      </w:r>
      <w:r>
        <w:rPr>
          <w:rFonts w:ascii="Times New Roman" w:eastAsia="Times New Roman" w:hAnsi="Times New Roman" w:cs="Times New Roman"/>
          <w:b/>
          <w:sz w:val="24"/>
          <w:szCs w:val="24"/>
        </w:rPr>
        <w:t>: A SOCIEDADE</w:t>
      </w:r>
      <w:bookmarkStart w:id="2" w:name="_o0cm2djwi4y7"/>
      <w:bookmarkEnd w:id="2"/>
      <w:r>
        <w:rPr>
          <w:rFonts w:ascii="Times New Roman" w:eastAsia="Times New Roman" w:hAnsi="Times New Roman" w:cs="Times New Roman"/>
          <w:b/>
          <w:sz w:val="24"/>
          <w:szCs w:val="24"/>
        </w:rPr>
        <w:t>/</w:t>
      </w:r>
      <w:r>
        <w:rPr>
          <w:rFonts w:ascii="Times New Roman" w:hAnsi="Times New Roman" w:cs="Times New Roman"/>
          <w:b/>
          <w:sz w:val="24"/>
          <w:szCs w:val="24"/>
        </w:rPr>
        <w:t>AS MULHERES</w:t>
      </w:r>
    </w:p>
    <w:p w14:paraId="427D6174" w14:textId="77777777" w:rsidR="004767A3" w:rsidRDefault="004767A3" w:rsidP="004767A3">
      <w:pPr>
        <w:spacing w:line="360" w:lineRule="auto"/>
        <w:jc w:val="both"/>
        <w:rPr>
          <w:rFonts w:ascii="Times New Roman" w:eastAsia="Times New Roman" w:hAnsi="Times New Roman" w:cs="Times New Roman"/>
          <w:sz w:val="24"/>
          <w:szCs w:val="24"/>
        </w:rPr>
      </w:pPr>
    </w:p>
    <w:p w14:paraId="5F107D06" w14:textId="77777777" w:rsidR="004767A3" w:rsidRDefault="004767A3" w:rsidP="004767A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Passo 1: </w:t>
      </w:r>
    </w:p>
    <w:p w14:paraId="16993FE0" w14:textId="77777777" w:rsidR="004767A3" w:rsidRDefault="004767A3" w:rsidP="004767A3">
      <w:pPr>
        <w:spacing w:line="360" w:lineRule="auto"/>
        <w:jc w:val="both"/>
        <w:rPr>
          <w:rFonts w:ascii="Times New Roman" w:eastAsia="Times New Roman" w:hAnsi="Times New Roman" w:cs="Times New Roman"/>
          <w:sz w:val="24"/>
          <w:szCs w:val="24"/>
          <w:highlight w:val="white"/>
          <w:lang w:val="en-US"/>
        </w:rPr>
      </w:pPr>
      <w:r>
        <w:rPr>
          <w:rFonts w:ascii="Times New Roman" w:eastAsia="Times New Roman" w:hAnsi="Times New Roman" w:cs="Times New Roman"/>
          <w:sz w:val="24"/>
          <w:szCs w:val="24"/>
        </w:rPr>
        <w:t xml:space="preserve">Texto 1 - </w:t>
      </w:r>
      <w:r>
        <w:rPr>
          <w:rFonts w:ascii="Times New Roman" w:eastAsia="Times New Roman" w:hAnsi="Times New Roman" w:cs="Times New Roman"/>
          <w:sz w:val="24"/>
          <w:szCs w:val="24"/>
          <w:highlight w:val="white"/>
        </w:rPr>
        <w:t xml:space="preserve">Mulheres no trabalho. </w:t>
      </w:r>
      <w:r>
        <w:rPr>
          <w:rFonts w:ascii="Times New Roman" w:eastAsia="Times New Roman" w:hAnsi="Times New Roman" w:cs="Times New Roman"/>
          <w:sz w:val="24"/>
          <w:szCs w:val="24"/>
          <w:highlight w:val="white"/>
          <w:lang w:val="en-US"/>
        </w:rPr>
        <w:t xml:space="preserve">Por </w:t>
      </w:r>
      <w:proofErr w:type="spellStart"/>
      <w:r>
        <w:rPr>
          <w:rFonts w:ascii="Times New Roman" w:eastAsia="Times New Roman" w:hAnsi="Times New Roman" w:cs="Times New Roman"/>
          <w:sz w:val="24"/>
          <w:szCs w:val="24"/>
          <w:highlight w:val="white"/>
          <w:lang w:val="en-US"/>
        </w:rPr>
        <w:t>Sebillotte</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Cuchet</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Violaine</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Sronek</w:t>
      </w:r>
      <w:proofErr w:type="spellEnd"/>
      <w:r>
        <w:rPr>
          <w:rFonts w:ascii="Times New Roman" w:eastAsia="Times New Roman" w:hAnsi="Times New Roman" w:cs="Times New Roman"/>
          <w:sz w:val="24"/>
          <w:szCs w:val="24"/>
          <w:highlight w:val="white"/>
          <w:lang w:val="en-US"/>
        </w:rPr>
        <w:t xml:space="preserve">, Marie-Laure. </w:t>
      </w:r>
    </w:p>
    <w:p w14:paraId="10342F0C" w14:textId="77777777" w:rsidR="004767A3" w:rsidRDefault="004767A3" w:rsidP="004767A3">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“Segundo as fontes da tradição manuscrita, a primeira forma de trabalho a existir em Atenas se desenvolve no âmbito doméstico e se organiza em torno da gestão dos escravos, do preparo dos alimentos, da educação das crianças e da boa manutenção geral do </w:t>
      </w:r>
      <w:proofErr w:type="spellStart"/>
      <w:r>
        <w:rPr>
          <w:rFonts w:ascii="Times New Roman" w:eastAsia="Times New Roman" w:hAnsi="Times New Roman" w:cs="Times New Roman"/>
          <w:i/>
          <w:sz w:val="24"/>
          <w:szCs w:val="24"/>
          <w:highlight w:val="white"/>
        </w:rPr>
        <w:t>oikos</w:t>
      </w:r>
      <w:proofErr w:type="spellEnd"/>
      <w:r>
        <w:rPr>
          <w:rFonts w:ascii="Times New Roman" w:eastAsia="Times New Roman" w:hAnsi="Times New Roman" w:cs="Times New Roman"/>
          <w:i/>
          <w:sz w:val="24"/>
          <w:szCs w:val="24"/>
          <w:highlight w:val="white"/>
        </w:rPr>
        <w:t xml:space="preserve">. </w:t>
      </w:r>
      <w:r>
        <w:rPr>
          <w:rFonts w:ascii="Times New Roman" w:eastAsia="Times New Roman" w:hAnsi="Times New Roman" w:cs="Times New Roman"/>
          <w:sz w:val="24"/>
          <w:szCs w:val="24"/>
          <w:highlight w:val="white"/>
        </w:rPr>
        <w:t xml:space="preserve">Porém, as atenienses, e não apenas metecas e escravas, podem ser levadas, quando o nível econômico das famílias o justifica, a exercer uma atividade profissional remunerada destinada a prover necessidades básicas. Dois casos são encontrados então: ou a mulher produz bens no interior de sua casa (pães, vestimentas, bolos...) e vai à ágora vendê-los no mercado, ou ela exerce uma atividade independente de seu </w:t>
      </w:r>
      <w:proofErr w:type="spellStart"/>
      <w:r>
        <w:rPr>
          <w:rFonts w:ascii="Times New Roman" w:eastAsia="Times New Roman" w:hAnsi="Times New Roman" w:cs="Times New Roman"/>
          <w:i/>
          <w:sz w:val="24"/>
          <w:szCs w:val="24"/>
          <w:highlight w:val="white"/>
        </w:rPr>
        <w:t>oikos</w:t>
      </w:r>
      <w:proofErr w:type="spellEnd"/>
      <w:r>
        <w:rPr>
          <w:rFonts w:ascii="Times New Roman" w:eastAsia="Times New Roman" w:hAnsi="Times New Roman" w:cs="Times New Roman"/>
          <w:i/>
          <w:sz w:val="24"/>
          <w:szCs w:val="24"/>
          <w:highlight w:val="white"/>
        </w:rPr>
        <w:t>.</w:t>
      </w:r>
      <w:r>
        <w:rPr>
          <w:rFonts w:ascii="Times New Roman" w:eastAsia="Times New Roman" w:hAnsi="Times New Roman" w:cs="Times New Roman"/>
          <w:sz w:val="24"/>
          <w:szCs w:val="24"/>
          <w:highlight w:val="white"/>
        </w:rPr>
        <w:t xml:space="preserve"> Nesse caso, os domínios de atuação são bastante vastos: artesanato (sapateira, mas também ourives ou pintora, como mostra a imagem com uma mulher decorando um vaso), mas também “serviços” (ama de leite, lavadeiras, gerente de prostíbulos). É preciso sublinhar a autonomia que tais ofícios conferem. Algumas tinham tanto orgulho que mandavam gravar sua atividade profissional nas dedicatórias dos objetos que consagravam às divindades. Nessas ocasiões, as mulheres transitam no exterior de seus </w:t>
      </w:r>
      <w:proofErr w:type="spellStart"/>
      <w:r>
        <w:rPr>
          <w:rFonts w:ascii="Times New Roman" w:eastAsia="Times New Roman" w:hAnsi="Times New Roman" w:cs="Times New Roman"/>
          <w:i/>
          <w:sz w:val="24"/>
          <w:szCs w:val="24"/>
          <w:highlight w:val="white"/>
        </w:rPr>
        <w:t>oikoi</w:t>
      </w:r>
      <w:proofErr w:type="spellEnd"/>
      <w:r>
        <w:rPr>
          <w:rFonts w:ascii="Times New Roman" w:eastAsia="Times New Roman" w:hAnsi="Times New Roman" w:cs="Times New Roman"/>
          <w:sz w:val="24"/>
          <w:szCs w:val="24"/>
          <w:highlight w:val="white"/>
        </w:rPr>
        <w:t xml:space="preserve"> e entram em contato com outros homens para além de seus maridos, tanto na ágora, onde as vendedoras e os vendedores não ocupam lugares geograficamente separados, quanto em suas próprias lojas.” </w:t>
      </w:r>
    </w:p>
    <w:p w14:paraId="3CFD9B74" w14:textId="77777777" w:rsidR="004767A3" w:rsidRDefault="004767A3" w:rsidP="004767A3">
      <w:pPr>
        <w:spacing w:line="360" w:lineRule="auto"/>
        <w:jc w:val="both"/>
        <w:rPr>
          <w:rFonts w:ascii="Times New Roman" w:eastAsia="Times New Roman" w:hAnsi="Times New Roman" w:cs="Times New Roman"/>
          <w:sz w:val="24"/>
          <w:szCs w:val="24"/>
          <w:highlight w:val="white"/>
        </w:rPr>
      </w:pPr>
    </w:p>
    <w:p w14:paraId="68417E8A" w14:textId="77777777" w:rsidR="004767A3" w:rsidRDefault="004767A3" w:rsidP="004767A3">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Texto 2 - Não-cidadãs? Por </w:t>
      </w:r>
      <w:proofErr w:type="spellStart"/>
      <w:r>
        <w:rPr>
          <w:rFonts w:ascii="Times New Roman" w:eastAsia="Times New Roman" w:hAnsi="Times New Roman" w:cs="Times New Roman"/>
          <w:sz w:val="24"/>
          <w:szCs w:val="24"/>
          <w:highlight w:val="white"/>
        </w:rPr>
        <w:t>Guicharrouse</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Romain</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Sebillotte</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Cuchet</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Violaine</w:t>
      </w:r>
      <w:proofErr w:type="spellEnd"/>
      <w:r>
        <w:rPr>
          <w:rFonts w:ascii="Times New Roman" w:eastAsia="Times New Roman" w:hAnsi="Times New Roman" w:cs="Times New Roman"/>
          <w:sz w:val="24"/>
          <w:szCs w:val="24"/>
          <w:highlight w:val="white"/>
        </w:rPr>
        <w:t>.</w:t>
      </w:r>
    </w:p>
    <w:p w14:paraId="33A06653" w14:textId="77777777" w:rsidR="004767A3" w:rsidRDefault="004767A3" w:rsidP="004767A3">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i/>
          <w:sz w:val="24"/>
          <w:szCs w:val="24"/>
          <w:highlight w:val="white"/>
        </w:rPr>
        <w:t>Athenaioi</w:t>
      </w:r>
      <w:proofErr w:type="spellEnd"/>
      <w:r>
        <w:rPr>
          <w:rFonts w:ascii="Times New Roman" w:eastAsia="Times New Roman" w:hAnsi="Times New Roman" w:cs="Times New Roman"/>
          <w:sz w:val="24"/>
          <w:szCs w:val="24"/>
          <w:highlight w:val="white"/>
        </w:rPr>
        <w:t xml:space="preserve">: frequentemente os historiadores traduzem esse termo pelo plural masculino, “os atenienses”, ou até mesmo pela fórmula “os cidadãos de Atenas”. Ora, os contextos gregos em que </w:t>
      </w:r>
      <w:proofErr w:type="spellStart"/>
      <w:r>
        <w:rPr>
          <w:rFonts w:ascii="Times New Roman" w:eastAsia="Times New Roman" w:hAnsi="Times New Roman" w:cs="Times New Roman"/>
          <w:i/>
          <w:sz w:val="24"/>
          <w:szCs w:val="24"/>
          <w:highlight w:val="white"/>
        </w:rPr>
        <w:t>Athenaioi</w:t>
      </w:r>
      <w:proofErr w:type="spellEnd"/>
      <w:r>
        <w:rPr>
          <w:rFonts w:ascii="Times New Roman" w:eastAsia="Times New Roman" w:hAnsi="Times New Roman" w:cs="Times New Roman"/>
          <w:sz w:val="24"/>
          <w:szCs w:val="24"/>
          <w:highlight w:val="white"/>
        </w:rPr>
        <w:t xml:space="preserve"> ocorre nos permitem saber que, não raro, a palavra designa um grupo de homens e mulheres livres que habita a cidade. O masculino-neutro que apaga a presença das mulheres muitas vezes levou a pensar que a comunidade da cidade (polis), a comunidade política, concernia apenas, do ponto de vista grego, aos homens. Além disso, a noção contemporânea de cidadania foi construída no período moderno, em um contexto revolucionário amplamente inspirado pelos textos teóricos e políticos de filósofos, historiadores e moralistas gregos (como Aristóteles, Tucídides, Plutarco). Em suas reflexões, eles se interessavam pouco pelas mulheres e, quando era o caso, o faziam para engrandecer o papel esperado daquelas que deviam ajudar seus esposos e seus filhos a se dedicarem à política e à defesa da cidade natal.</w:t>
      </w:r>
    </w:p>
    <w:p w14:paraId="2B825119" w14:textId="77777777" w:rsidR="004767A3" w:rsidRDefault="004767A3" w:rsidP="004767A3">
      <w:pPr>
        <w:spacing w:line="360" w:lineRule="auto"/>
        <w:jc w:val="both"/>
        <w:rPr>
          <w:rFonts w:ascii="Times New Roman" w:eastAsia="Times New Roman" w:hAnsi="Times New Roman" w:cs="Times New Roman"/>
          <w:sz w:val="24"/>
          <w:szCs w:val="24"/>
          <w:highlight w:val="white"/>
        </w:rPr>
      </w:pPr>
    </w:p>
    <w:p w14:paraId="416E08D8" w14:textId="77777777" w:rsidR="004767A3" w:rsidRDefault="004767A3" w:rsidP="004767A3">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Foram necessários os trabalhos desenvolvidos por historiadoras, no século XX, para que se colocasse a questão da participação das mulheres livres das cidades na vida coletiva (1). Duas conclusões foram obtidas:</w:t>
      </w:r>
    </w:p>
    <w:p w14:paraId="35561B5D" w14:textId="77777777" w:rsidR="004767A3" w:rsidRDefault="004767A3" w:rsidP="004767A3">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A cidadania, na Grécia antiga, é uma cidadania de participação que põe no mesmo plano todos os atos da vida coletiva e, sobretudo, a vida religiosa.</w:t>
      </w:r>
    </w:p>
    <w:p w14:paraId="436490E8" w14:textId="77777777" w:rsidR="004767A3" w:rsidRDefault="004767A3" w:rsidP="004767A3">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2/ As mulheres livres, nascidas e reconhecidas como filhas em uma família de cidadãos, são designadas como atenienses (no feminino), cidadãs (sg. </w:t>
      </w:r>
      <w:proofErr w:type="spellStart"/>
      <w:r>
        <w:rPr>
          <w:rFonts w:ascii="Times New Roman" w:eastAsia="Times New Roman" w:hAnsi="Times New Roman" w:cs="Times New Roman"/>
          <w:i/>
          <w:sz w:val="24"/>
          <w:szCs w:val="24"/>
          <w:highlight w:val="white"/>
        </w:rPr>
        <w:t>politis</w:t>
      </w:r>
      <w:proofErr w:type="spellEnd"/>
      <w:r>
        <w:rPr>
          <w:rFonts w:ascii="Times New Roman" w:eastAsia="Times New Roman" w:hAnsi="Times New Roman" w:cs="Times New Roman"/>
          <w:sz w:val="24"/>
          <w:szCs w:val="24"/>
          <w:highlight w:val="white"/>
        </w:rPr>
        <w:t xml:space="preserve">; pl. </w:t>
      </w:r>
      <w:proofErr w:type="spellStart"/>
      <w:r>
        <w:rPr>
          <w:rFonts w:ascii="Times New Roman" w:eastAsia="Times New Roman" w:hAnsi="Times New Roman" w:cs="Times New Roman"/>
          <w:i/>
          <w:sz w:val="24"/>
          <w:szCs w:val="24"/>
          <w:highlight w:val="white"/>
        </w:rPr>
        <w:t>politides</w:t>
      </w:r>
      <w:proofErr w:type="spellEnd"/>
      <w:r>
        <w:rPr>
          <w:rFonts w:ascii="Times New Roman" w:eastAsia="Times New Roman" w:hAnsi="Times New Roman" w:cs="Times New Roman"/>
          <w:sz w:val="24"/>
          <w:szCs w:val="24"/>
          <w:highlight w:val="white"/>
        </w:rPr>
        <w:t>) e submetidas às mesmas injunções comportamentais que os cidadãos: respeitar as normas da cidade. Evidentemente, a exclusão do voto e das assembleias deliberativas diferencia as cidadãs dos cidadãos. No entanto, como os Gregos não definem a cidadania unicamente pelo direito ao voto, seria anacrônico deduzir daí que elas não são cidadãs.</w:t>
      </w:r>
    </w:p>
    <w:p w14:paraId="0417F11F" w14:textId="77777777" w:rsidR="004767A3" w:rsidRDefault="004767A3" w:rsidP="004767A3">
      <w:pPr>
        <w:spacing w:line="360" w:lineRule="auto"/>
        <w:jc w:val="both"/>
        <w:rPr>
          <w:rFonts w:ascii="Times New Roman" w:eastAsia="Times New Roman" w:hAnsi="Times New Roman" w:cs="Times New Roman"/>
          <w:sz w:val="24"/>
          <w:szCs w:val="24"/>
          <w:highlight w:val="white"/>
        </w:rPr>
      </w:pPr>
    </w:p>
    <w:p w14:paraId="2589E7C3" w14:textId="77777777" w:rsidR="004767A3" w:rsidRDefault="004767A3" w:rsidP="004767A3">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Nota:</w:t>
      </w:r>
    </w:p>
    <w:p w14:paraId="368CF1D7" w14:textId="77777777" w:rsidR="004767A3" w:rsidRDefault="004767A3" w:rsidP="004767A3">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(1) Para uma síntese recente dos debates, ver </w:t>
      </w:r>
      <w:proofErr w:type="spellStart"/>
      <w:r>
        <w:rPr>
          <w:rFonts w:ascii="Times New Roman" w:eastAsia="Times New Roman" w:hAnsi="Times New Roman" w:cs="Times New Roman"/>
          <w:sz w:val="24"/>
          <w:szCs w:val="24"/>
          <w:highlight w:val="white"/>
        </w:rPr>
        <w:t>Sebillotte</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Cuchet</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Violaine</w:t>
      </w:r>
      <w:proofErr w:type="spellEnd"/>
      <w:r>
        <w:rPr>
          <w:rFonts w:ascii="Times New Roman" w:eastAsia="Times New Roman" w:hAnsi="Times New Roman" w:cs="Times New Roman"/>
          <w:sz w:val="24"/>
          <w:szCs w:val="24"/>
          <w:highlight w:val="white"/>
        </w:rPr>
        <w:t>, “</w:t>
      </w:r>
      <w:proofErr w:type="spellStart"/>
      <w:r>
        <w:rPr>
          <w:rFonts w:ascii="Times New Roman" w:eastAsia="Times New Roman" w:hAnsi="Times New Roman" w:cs="Times New Roman"/>
          <w:sz w:val="24"/>
          <w:szCs w:val="24"/>
          <w:highlight w:val="white"/>
        </w:rPr>
        <w:t>Ces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citoyennes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qui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reconfigurent</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le</w:t>
      </w:r>
      <w:proofErr w:type="spellEnd"/>
      <w:r>
        <w:rPr>
          <w:rFonts w:ascii="Times New Roman" w:eastAsia="Times New Roman" w:hAnsi="Times New Roman" w:cs="Times New Roman"/>
          <w:sz w:val="24"/>
          <w:szCs w:val="24"/>
          <w:highlight w:val="white"/>
        </w:rPr>
        <w:t xml:space="preserve"> politique. </w:t>
      </w:r>
      <w:proofErr w:type="spellStart"/>
      <w:r>
        <w:rPr>
          <w:rFonts w:ascii="Times New Roman" w:eastAsia="Times New Roman" w:hAnsi="Times New Roman" w:cs="Times New Roman"/>
          <w:sz w:val="24"/>
          <w:szCs w:val="24"/>
          <w:highlight w:val="white"/>
        </w:rPr>
        <w:t>Trente</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ans</w:t>
      </w:r>
      <w:proofErr w:type="spellEnd"/>
      <w:r>
        <w:rPr>
          <w:rFonts w:ascii="Times New Roman" w:eastAsia="Times New Roman" w:hAnsi="Times New Roman" w:cs="Times New Roman"/>
          <w:sz w:val="24"/>
          <w:szCs w:val="24"/>
          <w:highlight w:val="white"/>
        </w:rPr>
        <w:t xml:space="preserve"> de </w:t>
      </w:r>
      <w:proofErr w:type="spellStart"/>
      <w:r>
        <w:rPr>
          <w:rFonts w:ascii="Times New Roman" w:eastAsia="Times New Roman" w:hAnsi="Times New Roman" w:cs="Times New Roman"/>
          <w:sz w:val="24"/>
          <w:szCs w:val="24"/>
          <w:highlight w:val="white"/>
        </w:rPr>
        <w:t>travaux</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sur</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l’Antiquité</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grecque</w:t>
      </w:r>
      <w:proofErr w:type="spellEnd"/>
      <w:r>
        <w:rPr>
          <w:rFonts w:ascii="Times New Roman" w:eastAsia="Times New Roman" w:hAnsi="Times New Roman" w:cs="Times New Roman"/>
          <w:sz w:val="24"/>
          <w:szCs w:val="24"/>
          <w:highlight w:val="white"/>
        </w:rPr>
        <w:t xml:space="preserve">,” Clio FGH, 43, 2016, p. 185-215.” </w:t>
      </w:r>
    </w:p>
    <w:p w14:paraId="5826A251" w14:textId="77777777" w:rsidR="004767A3" w:rsidRDefault="004767A3" w:rsidP="004767A3">
      <w:pPr>
        <w:spacing w:line="360" w:lineRule="auto"/>
        <w:jc w:val="both"/>
        <w:rPr>
          <w:rFonts w:ascii="Times New Roman" w:eastAsia="Times New Roman" w:hAnsi="Times New Roman" w:cs="Times New Roman"/>
          <w:sz w:val="24"/>
          <w:szCs w:val="24"/>
          <w:highlight w:val="white"/>
        </w:rPr>
      </w:pPr>
    </w:p>
    <w:p w14:paraId="5D2DD5C4" w14:textId="77777777" w:rsidR="004767A3" w:rsidRDefault="004767A3" w:rsidP="004767A3">
      <w:pPr>
        <w:spacing w:line="360" w:lineRule="auto"/>
        <w:jc w:val="both"/>
        <w:rPr>
          <w:rFonts w:ascii="Times New Roman" w:eastAsia="Times New Roman" w:hAnsi="Times New Roman" w:cs="Times New Roman"/>
          <w:sz w:val="24"/>
          <w:szCs w:val="24"/>
          <w:highlight w:val="white"/>
          <w:lang w:val="en-US"/>
        </w:rPr>
      </w:pPr>
      <w:r>
        <w:rPr>
          <w:rFonts w:ascii="Times New Roman" w:eastAsia="Times New Roman" w:hAnsi="Times New Roman" w:cs="Times New Roman"/>
          <w:sz w:val="24"/>
          <w:szCs w:val="24"/>
          <w:highlight w:val="white"/>
        </w:rPr>
        <w:t xml:space="preserve">Texto 3 - O feminino de cidadão existe! </w:t>
      </w:r>
      <w:r>
        <w:rPr>
          <w:rFonts w:ascii="Times New Roman" w:eastAsia="Times New Roman" w:hAnsi="Times New Roman" w:cs="Times New Roman"/>
          <w:sz w:val="24"/>
          <w:szCs w:val="24"/>
          <w:highlight w:val="white"/>
          <w:lang w:val="en-US"/>
        </w:rPr>
        <w:t xml:space="preserve">Por </w:t>
      </w:r>
      <w:proofErr w:type="spellStart"/>
      <w:r>
        <w:rPr>
          <w:rFonts w:ascii="Times New Roman" w:eastAsia="Times New Roman" w:hAnsi="Times New Roman" w:cs="Times New Roman"/>
          <w:sz w:val="24"/>
          <w:szCs w:val="24"/>
          <w:highlight w:val="white"/>
          <w:lang w:val="en-US"/>
        </w:rPr>
        <w:t>Guicharrouse</w:t>
      </w:r>
      <w:proofErr w:type="spellEnd"/>
      <w:r>
        <w:rPr>
          <w:rFonts w:ascii="Times New Roman" w:eastAsia="Times New Roman" w:hAnsi="Times New Roman" w:cs="Times New Roman"/>
          <w:sz w:val="24"/>
          <w:szCs w:val="24"/>
          <w:highlight w:val="white"/>
          <w:lang w:val="en-US"/>
        </w:rPr>
        <w:t xml:space="preserve">, Romain; </w:t>
      </w:r>
      <w:proofErr w:type="spellStart"/>
      <w:r>
        <w:rPr>
          <w:rFonts w:ascii="Times New Roman" w:eastAsia="Times New Roman" w:hAnsi="Times New Roman" w:cs="Times New Roman"/>
          <w:sz w:val="24"/>
          <w:szCs w:val="24"/>
          <w:highlight w:val="white"/>
          <w:lang w:val="en-US"/>
        </w:rPr>
        <w:t>Sebillotte</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Cuchet</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Violaine</w:t>
      </w:r>
      <w:proofErr w:type="spellEnd"/>
      <w:r>
        <w:rPr>
          <w:rFonts w:ascii="Times New Roman" w:eastAsia="Times New Roman" w:hAnsi="Times New Roman" w:cs="Times New Roman"/>
          <w:sz w:val="24"/>
          <w:szCs w:val="24"/>
          <w:highlight w:val="white"/>
          <w:lang w:val="en-US"/>
        </w:rPr>
        <w:t>.</w:t>
      </w:r>
    </w:p>
    <w:p w14:paraId="426E9FF6" w14:textId="77777777" w:rsidR="004767A3" w:rsidRDefault="004767A3" w:rsidP="004767A3">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“Quando alguns oradores questionam a cidadania de uma mulher, eles empregam o termo </w:t>
      </w:r>
      <w:proofErr w:type="spellStart"/>
      <w:r>
        <w:rPr>
          <w:rFonts w:ascii="Times New Roman" w:eastAsia="Times New Roman" w:hAnsi="Times New Roman" w:cs="Times New Roman"/>
          <w:i/>
          <w:sz w:val="24"/>
          <w:szCs w:val="24"/>
          <w:highlight w:val="white"/>
        </w:rPr>
        <w:t>politis</w:t>
      </w:r>
      <w:proofErr w:type="spellEnd"/>
      <w:r>
        <w:rPr>
          <w:rFonts w:ascii="Times New Roman" w:eastAsia="Times New Roman" w:hAnsi="Times New Roman" w:cs="Times New Roman"/>
          <w:sz w:val="24"/>
          <w:szCs w:val="24"/>
          <w:highlight w:val="white"/>
        </w:rPr>
        <w:t xml:space="preserve">, que é o feminino de </w:t>
      </w:r>
      <w:proofErr w:type="spellStart"/>
      <w:r>
        <w:rPr>
          <w:rFonts w:ascii="Times New Roman" w:eastAsia="Times New Roman" w:hAnsi="Times New Roman" w:cs="Times New Roman"/>
          <w:sz w:val="24"/>
          <w:szCs w:val="24"/>
          <w:highlight w:val="white"/>
        </w:rPr>
        <w:t>polites</w:t>
      </w:r>
      <w:proofErr w:type="spellEnd"/>
      <w:r>
        <w:rPr>
          <w:rFonts w:ascii="Times New Roman" w:eastAsia="Times New Roman" w:hAnsi="Times New Roman" w:cs="Times New Roman"/>
          <w:sz w:val="24"/>
          <w:szCs w:val="24"/>
          <w:highlight w:val="white"/>
        </w:rPr>
        <w:t xml:space="preserve">, sempre traduzido por “cidadão”. No discurso sobre a Herança de </w:t>
      </w:r>
      <w:proofErr w:type="spellStart"/>
      <w:r>
        <w:rPr>
          <w:rFonts w:ascii="Times New Roman" w:eastAsia="Times New Roman" w:hAnsi="Times New Roman" w:cs="Times New Roman"/>
          <w:sz w:val="24"/>
          <w:szCs w:val="24"/>
          <w:highlight w:val="white"/>
        </w:rPr>
        <w:t>Ciron</w:t>
      </w:r>
      <w:proofErr w:type="spellEnd"/>
      <w:r>
        <w:rPr>
          <w:rFonts w:ascii="Times New Roman" w:eastAsia="Times New Roman" w:hAnsi="Times New Roman" w:cs="Times New Roman"/>
          <w:sz w:val="24"/>
          <w:szCs w:val="24"/>
          <w:highlight w:val="white"/>
        </w:rPr>
        <w:t xml:space="preserve">, conservado no corpus de discursos de </w:t>
      </w:r>
      <w:proofErr w:type="spellStart"/>
      <w:r>
        <w:rPr>
          <w:rFonts w:ascii="Times New Roman" w:eastAsia="Times New Roman" w:hAnsi="Times New Roman" w:cs="Times New Roman"/>
          <w:sz w:val="24"/>
          <w:szCs w:val="24"/>
          <w:highlight w:val="white"/>
        </w:rPr>
        <w:t>Iseu</w:t>
      </w:r>
      <w:proofErr w:type="spellEnd"/>
      <w:r>
        <w:rPr>
          <w:rFonts w:ascii="Times New Roman" w:eastAsia="Times New Roman" w:hAnsi="Times New Roman" w:cs="Times New Roman"/>
          <w:sz w:val="24"/>
          <w:szCs w:val="24"/>
          <w:highlight w:val="white"/>
        </w:rPr>
        <w:t>, o litigante do discurso se defende: “Se estas mentiras fazem vocês acreditarem que nossa mãe não era cidadã (π</w:t>
      </w:r>
      <w:proofErr w:type="spellStart"/>
      <w:r>
        <w:rPr>
          <w:rFonts w:ascii="Times New Roman" w:eastAsia="Times New Roman" w:hAnsi="Times New Roman" w:cs="Times New Roman"/>
          <w:sz w:val="24"/>
          <w:szCs w:val="24"/>
          <w:highlight w:val="white"/>
        </w:rPr>
        <w:t>ολῖτις</w:t>
      </w:r>
      <w:proofErr w:type="spellEnd"/>
      <w:r>
        <w:rPr>
          <w:rFonts w:ascii="Times New Roman" w:eastAsia="Times New Roman" w:hAnsi="Times New Roman" w:cs="Times New Roman"/>
          <w:sz w:val="24"/>
          <w:szCs w:val="24"/>
          <w:highlight w:val="white"/>
        </w:rPr>
        <w:t xml:space="preserve">), nós também não o somos”. O litigante do discurso pronunciado contra </w:t>
      </w:r>
      <w:proofErr w:type="spellStart"/>
      <w:r>
        <w:rPr>
          <w:rFonts w:ascii="Times New Roman" w:eastAsia="Times New Roman" w:hAnsi="Times New Roman" w:cs="Times New Roman"/>
          <w:sz w:val="24"/>
          <w:szCs w:val="24"/>
          <w:highlight w:val="white"/>
        </w:rPr>
        <w:t>Eubulides</w:t>
      </w:r>
      <w:proofErr w:type="spellEnd"/>
      <w:r>
        <w:rPr>
          <w:rFonts w:ascii="Times New Roman" w:eastAsia="Times New Roman" w:hAnsi="Times New Roman" w:cs="Times New Roman"/>
          <w:sz w:val="24"/>
          <w:szCs w:val="24"/>
          <w:highlight w:val="white"/>
        </w:rPr>
        <w:t xml:space="preserve"> também explica: “Além do mais, atenienses, é evidente que meu pai não foi seu primeiro marido, mas, sim, </w:t>
      </w:r>
      <w:proofErr w:type="spellStart"/>
      <w:r>
        <w:rPr>
          <w:rFonts w:ascii="Times New Roman" w:eastAsia="Times New Roman" w:hAnsi="Times New Roman" w:cs="Times New Roman"/>
          <w:sz w:val="24"/>
          <w:szCs w:val="24"/>
          <w:highlight w:val="white"/>
        </w:rPr>
        <w:t>Protômaco</w:t>
      </w:r>
      <w:proofErr w:type="spellEnd"/>
      <w:r>
        <w:rPr>
          <w:rFonts w:ascii="Times New Roman" w:eastAsia="Times New Roman" w:hAnsi="Times New Roman" w:cs="Times New Roman"/>
          <w:sz w:val="24"/>
          <w:szCs w:val="24"/>
          <w:highlight w:val="white"/>
        </w:rPr>
        <w:t>, que dela teve filhos, inclusive uma filha dada em casamento. Ainda que ele esteja morto, seus atos testemunham que minha mãe era ateniense e cidadã (</w:t>
      </w:r>
      <w:proofErr w:type="spellStart"/>
      <w:r>
        <w:rPr>
          <w:rFonts w:ascii="Times New Roman" w:eastAsia="Times New Roman" w:hAnsi="Times New Roman" w:cs="Times New Roman"/>
          <w:i/>
          <w:sz w:val="24"/>
          <w:szCs w:val="24"/>
          <w:highlight w:val="white"/>
        </w:rPr>
        <w:t>politis</w:t>
      </w:r>
      <w:proofErr w:type="spellEnd"/>
      <w:r>
        <w:rPr>
          <w:rFonts w:ascii="Times New Roman" w:eastAsia="Times New Roman" w:hAnsi="Times New Roman" w:cs="Times New Roman"/>
          <w:sz w:val="24"/>
          <w:szCs w:val="24"/>
          <w:highlight w:val="white"/>
        </w:rPr>
        <w:t xml:space="preserve">).” </w:t>
      </w:r>
    </w:p>
    <w:p w14:paraId="28FB7F74" w14:textId="77777777" w:rsidR="004767A3" w:rsidRDefault="004767A3" w:rsidP="004767A3">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(Demóstenes [57], </w:t>
      </w:r>
      <w:r>
        <w:rPr>
          <w:rFonts w:ascii="Times New Roman" w:eastAsia="Times New Roman" w:hAnsi="Times New Roman" w:cs="Times New Roman"/>
          <w:i/>
          <w:sz w:val="24"/>
          <w:szCs w:val="24"/>
          <w:highlight w:val="white"/>
        </w:rPr>
        <w:t xml:space="preserve">Contra </w:t>
      </w:r>
      <w:proofErr w:type="spellStart"/>
      <w:r>
        <w:rPr>
          <w:rFonts w:ascii="Times New Roman" w:eastAsia="Times New Roman" w:hAnsi="Times New Roman" w:cs="Times New Roman"/>
          <w:i/>
          <w:sz w:val="24"/>
          <w:szCs w:val="24"/>
          <w:highlight w:val="white"/>
        </w:rPr>
        <w:t>Eubulides</w:t>
      </w:r>
      <w:proofErr w:type="spellEnd"/>
      <w:r>
        <w:rPr>
          <w:rFonts w:ascii="Times New Roman" w:eastAsia="Times New Roman" w:hAnsi="Times New Roman" w:cs="Times New Roman"/>
          <w:sz w:val="24"/>
          <w:szCs w:val="24"/>
          <w:highlight w:val="white"/>
        </w:rPr>
        <w:t>, 43). A palavra também aparece nas Leis de Platão, quando o ateniense explica: “Estabeleçamos, então, esta lei (</w:t>
      </w:r>
      <w:proofErr w:type="spellStart"/>
      <w:r>
        <w:rPr>
          <w:rFonts w:ascii="Times New Roman" w:eastAsia="Times New Roman" w:hAnsi="Times New Roman" w:cs="Times New Roman"/>
          <w:i/>
          <w:sz w:val="24"/>
          <w:szCs w:val="24"/>
          <w:highlight w:val="white"/>
        </w:rPr>
        <w:t>nomos</w:t>
      </w:r>
      <w:proofErr w:type="spellEnd"/>
      <w:r>
        <w:rPr>
          <w:rFonts w:ascii="Times New Roman" w:eastAsia="Times New Roman" w:hAnsi="Times New Roman" w:cs="Times New Roman"/>
          <w:sz w:val="24"/>
          <w:szCs w:val="24"/>
          <w:highlight w:val="white"/>
        </w:rPr>
        <w:t>) que as mulheres (</w:t>
      </w:r>
      <w:proofErr w:type="spellStart"/>
      <w:r>
        <w:rPr>
          <w:rFonts w:ascii="Times New Roman" w:eastAsia="Times New Roman" w:hAnsi="Times New Roman" w:cs="Times New Roman"/>
          <w:i/>
          <w:sz w:val="24"/>
          <w:szCs w:val="24"/>
          <w:highlight w:val="white"/>
        </w:rPr>
        <w:t>gynaikes</w:t>
      </w:r>
      <w:proofErr w:type="spellEnd"/>
      <w:r>
        <w:rPr>
          <w:rFonts w:ascii="Times New Roman" w:eastAsia="Times New Roman" w:hAnsi="Times New Roman" w:cs="Times New Roman"/>
          <w:sz w:val="24"/>
          <w:szCs w:val="24"/>
          <w:highlight w:val="white"/>
        </w:rPr>
        <w:t xml:space="preserve">) não devem negligenciar tanto os exercícios militares e que todos, cidadãos e cidadãs – </w:t>
      </w:r>
      <w:proofErr w:type="spellStart"/>
      <w:r>
        <w:rPr>
          <w:rFonts w:ascii="Times New Roman" w:eastAsia="Times New Roman" w:hAnsi="Times New Roman" w:cs="Times New Roman"/>
          <w:sz w:val="24"/>
          <w:szCs w:val="24"/>
          <w:highlight w:val="white"/>
        </w:rPr>
        <w:t>τοὺς</w:t>
      </w:r>
      <w:proofErr w:type="spellEnd"/>
      <w:r>
        <w:rPr>
          <w:rFonts w:ascii="Times New Roman" w:eastAsia="Times New Roman" w:hAnsi="Times New Roman" w:cs="Times New Roman"/>
          <w:sz w:val="24"/>
          <w:szCs w:val="24"/>
          <w:highlight w:val="white"/>
        </w:rPr>
        <w:t xml:space="preserve"> π</w:t>
      </w:r>
      <w:proofErr w:type="spellStart"/>
      <w:r>
        <w:rPr>
          <w:rFonts w:ascii="Times New Roman" w:eastAsia="Times New Roman" w:hAnsi="Times New Roman" w:cs="Times New Roman"/>
          <w:sz w:val="24"/>
          <w:szCs w:val="24"/>
          <w:highlight w:val="white"/>
        </w:rPr>
        <w:t>ολίτ</w:t>
      </w:r>
      <w:proofErr w:type="spellEnd"/>
      <w:r>
        <w:rPr>
          <w:rFonts w:ascii="Times New Roman" w:eastAsia="Times New Roman" w:hAnsi="Times New Roman" w:cs="Times New Roman"/>
          <w:sz w:val="24"/>
          <w:szCs w:val="24"/>
          <w:highlight w:val="white"/>
        </w:rPr>
        <w:t xml:space="preserve">ας καὶ </w:t>
      </w:r>
      <w:proofErr w:type="spellStart"/>
      <w:r>
        <w:rPr>
          <w:rFonts w:ascii="Times New Roman" w:eastAsia="Times New Roman" w:hAnsi="Times New Roman" w:cs="Times New Roman"/>
          <w:sz w:val="24"/>
          <w:szCs w:val="24"/>
          <w:highlight w:val="white"/>
        </w:rPr>
        <w:t>τὰς</w:t>
      </w:r>
      <w:proofErr w:type="spellEnd"/>
      <w:r>
        <w:rPr>
          <w:rFonts w:ascii="Times New Roman" w:eastAsia="Times New Roman" w:hAnsi="Times New Roman" w:cs="Times New Roman"/>
          <w:sz w:val="24"/>
          <w:szCs w:val="24"/>
          <w:highlight w:val="white"/>
        </w:rPr>
        <w:t xml:space="preserve"> π</w:t>
      </w:r>
      <w:proofErr w:type="spellStart"/>
      <w:r>
        <w:rPr>
          <w:rFonts w:ascii="Times New Roman" w:eastAsia="Times New Roman" w:hAnsi="Times New Roman" w:cs="Times New Roman"/>
          <w:sz w:val="24"/>
          <w:szCs w:val="24"/>
          <w:highlight w:val="white"/>
        </w:rPr>
        <w:t>ολίτιδ</w:t>
      </w:r>
      <w:proofErr w:type="spellEnd"/>
      <w:r>
        <w:rPr>
          <w:rFonts w:ascii="Times New Roman" w:eastAsia="Times New Roman" w:hAnsi="Times New Roman" w:cs="Times New Roman"/>
          <w:sz w:val="24"/>
          <w:szCs w:val="24"/>
          <w:highlight w:val="white"/>
        </w:rPr>
        <w:t>ας –, devem se ocupar deles” (</w:t>
      </w:r>
      <w:r>
        <w:rPr>
          <w:rFonts w:ascii="Times New Roman" w:eastAsia="Times New Roman" w:hAnsi="Times New Roman" w:cs="Times New Roman"/>
          <w:i/>
          <w:sz w:val="24"/>
          <w:szCs w:val="24"/>
          <w:highlight w:val="white"/>
        </w:rPr>
        <w:t>Leis</w:t>
      </w:r>
      <w:r>
        <w:rPr>
          <w:rFonts w:ascii="Times New Roman" w:eastAsia="Times New Roman" w:hAnsi="Times New Roman" w:cs="Times New Roman"/>
          <w:sz w:val="24"/>
          <w:szCs w:val="24"/>
          <w:highlight w:val="white"/>
        </w:rPr>
        <w:t xml:space="preserve"> 814c). Aristóteles lembra que “na prática”, as cidades gregas definem como cidadão um indivíduo “nascido de dois pais cidadãos (</w:t>
      </w:r>
      <w:proofErr w:type="spellStart"/>
      <w:r>
        <w:rPr>
          <w:rFonts w:ascii="Times New Roman" w:eastAsia="Times New Roman" w:hAnsi="Times New Roman" w:cs="Times New Roman"/>
          <w:i/>
          <w:sz w:val="24"/>
          <w:szCs w:val="24"/>
          <w:highlight w:val="white"/>
        </w:rPr>
        <w:t>politai</w:t>
      </w:r>
      <w:proofErr w:type="spellEnd"/>
      <w:r>
        <w:rPr>
          <w:rFonts w:ascii="Times New Roman" w:eastAsia="Times New Roman" w:hAnsi="Times New Roman" w:cs="Times New Roman"/>
          <w:sz w:val="24"/>
          <w:szCs w:val="24"/>
          <w:highlight w:val="white"/>
        </w:rPr>
        <w:t>), e não só de um, pai ou mãe" (</w:t>
      </w:r>
      <w:r>
        <w:rPr>
          <w:rFonts w:ascii="Times New Roman" w:eastAsia="Times New Roman" w:hAnsi="Times New Roman" w:cs="Times New Roman"/>
          <w:i/>
          <w:sz w:val="24"/>
          <w:szCs w:val="24"/>
          <w:highlight w:val="white"/>
        </w:rPr>
        <w:t>Política</w:t>
      </w:r>
      <w:r>
        <w:rPr>
          <w:rFonts w:ascii="Times New Roman" w:eastAsia="Times New Roman" w:hAnsi="Times New Roman" w:cs="Times New Roman"/>
          <w:sz w:val="24"/>
          <w:szCs w:val="24"/>
          <w:highlight w:val="white"/>
        </w:rPr>
        <w:t xml:space="preserve"> III, 1275b21-22). As mulheres são cidadãs pelo pertencimento às mesmas famílias que os cidadãos, mas, contrariamente a eles, elas não exercem funções deliberativas, judiciárias ou governamentais.” </w:t>
      </w:r>
    </w:p>
    <w:p w14:paraId="53554BDF" w14:textId="77777777" w:rsidR="004767A3" w:rsidRDefault="004767A3" w:rsidP="004767A3">
      <w:pPr>
        <w:spacing w:line="360" w:lineRule="auto"/>
        <w:jc w:val="both"/>
        <w:rPr>
          <w:rFonts w:ascii="Times New Roman" w:eastAsia="Times New Roman" w:hAnsi="Times New Roman" w:cs="Times New Roman"/>
          <w:sz w:val="24"/>
          <w:szCs w:val="24"/>
          <w:highlight w:val="white"/>
        </w:rPr>
      </w:pPr>
    </w:p>
    <w:p w14:paraId="0A4C95D6" w14:textId="77777777" w:rsidR="004767A3" w:rsidRDefault="004767A3" w:rsidP="004767A3">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Texto 4 - Privadas de cultura? Por Dana, </w:t>
      </w:r>
      <w:proofErr w:type="spellStart"/>
      <w:r>
        <w:rPr>
          <w:rFonts w:ascii="Times New Roman" w:eastAsia="Times New Roman" w:hAnsi="Times New Roman" w:cs="Times New Roman"/>
          <w:sz w:val="24"/>
          <w:szCs w:val="24"/>
          <w:highlight w:val="white"/>
        </w:rPr>
        <w:t>Madalina</w:t>
      </w:r>
      <w:proofErr w:type="spellEnd"/>
      <w:r>
        <w:rPr>
          <w:rFonts w:ascii="Times New Roman" w:eastAsia="Times New Roman" w:hAnsi="Times New Roman" w:cs="Times New Roman"/>
          <w:sz w:val="24"/>
          <w:szCs w:val="24"/>
          <w:highlight w:val="white"/>
        </w:rPr>
        <w:t>.</w:t>
      </w:r>
    </w:p>
    <w:p w14:paraId="371CF4D4" w14:textId="77777777" w:rsidR="004767A3" w:rsidRDefault="004767A3" w:rsidP="004767A3">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 imagem estereotipada da mulher grega difundida pelos autores clássicos é a da boa dona de casa, responsável pela boa gestão da casa desde muito nova: com 14 anos, uma jovem podia escrever uma lista de objetos domésticos (Xenofonte, </w:t>
      </w:r>
      <w:r>
        <w:rPr>
          <w:rFonts w:ascii="Times New Roman" w:eastAsia="Times New Roman" w:hAnsi="Times New Roman" w:cs="Times New Roman"/>
          <w:i/>
          <w:sz w:val="24"/>
          <w:szCs w:val="24"/>
          <w:highlight w:val="white"/>
        </w:rPr>
        <w:t>Econômico</w:t>
      </w:r>
      <w:r>
        <w:rPr>
          <w:rFonts w:ascii="Times New Roman" w:eastAsia="Times New Roman" w:hAnsi="Times New Roman" w:cs="Times New Roman"/>
          <w:sz w:val="24"/>
          <w:szCs w:val="24"/>
          <w:highlight w:val="white"/>
        </w:rPr>
        <w:t xml:space="preserve">, IX, 10). Seguindo o mesmo princípio, Teofrasto também aconselha dar às jovens uma educação letrada para que elas pudessem assumir melhor as responsabilidades domésticas. Por outro lado, </w:t>
      </w:r>
      <w:proofErr w:type="spellStart"/>
      <w:r>
        <w:rPr>
          <w:rFonts w:ascii="Times New Roman" w:eastAsia="Times New Roman" w:hAnsi="Times New Roman" w:cs="Times New Roman"/>
          <w:sz w:val="24"/>
          <w:szCs w:val="24"/>
          <w:highlight w:val="white"/>
        </w:rPr>
        <w:t>Menandro</w:t>
      </w:r>
      <w:proofErr w:type="spellEnd"/>
      <w:r>
        <w:rPr>
          <w:rFonts w:ascii="Times New Roman" w:eastAsia="Times New Roman" w:hAnsi="Times New Roman" w:cs="Times New Roman"/>
          <w:sz w:val="24"/>
          <w:szCs w:val="24"/>
          <w:highlight w:val="white"/>
        </w:rPr>
        <w:t xml:space="preserve"> afirma que educar uma mulher é “dar mais veneno a uma serpente” (F 702 </w:t>
      </w:r>
      <w:proofErr w:type="spellStart"/>
      <w:r>
        <w:rPr>
          <w:rFonts w:ascii="Times New Roman" w:eastAsia="Times New Roman" w:hAnsi="Times New Roman" w:cs="Times New Roman"/>
          <w:sz w:val="24"/>
          <w:szCs w:val="24"/>
          <w:highlight w:val="white"/>
        </w:rPr>
        <w:t>Kock</w:t>
      </w:r>
      <w:proofErr w:type="spellEnd"/>
      <w:r>
        <w:rPr>
          <w:rFonts w:ascii="Times New Roman" w:eastAsia="Times New Roman" w:hAnsi="Times New Roman" w:cs="Times New Roman"/>
          <w:sz w:val="24"/>
          <w:szCs w:val="24"/>
          <w:highlight w:val="white"/>
        </w:rPr>
        <w:t>).</w:t>
      </w:r>
    </w:p>
    <w:p w14:paraId="6CE94ACB" w14:textId="77777777" w:rsidR="004767A3" w:rsidRDefault="004767A3" w:rsidP="004767A3">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Alguns testemunhos mostram que a própria cidade poderia se encarregar da educação de seus futuros cidadãos, meninos e meninas (até um certo ponto) sem distinção. Assim, no século V a.C., Heródoto relata, em suas Histórias (VI, 27), o desespero dos habitantes de </w:t>
      </w:r>
      <w:proofErr w:type="spellStart"/>
      <w:r>
        <w:rPr>
          <w:rFonts w:ascii="Times New Roman" w:eastAsia="Times New Roman" w:hAnsi="Times New Roman" w:cs="Times New Roman"/>
          <w:sz w:val="24"/>
          <w:szCs w:val="24"/>
          <w:highlight w:val="white"/>
        </w:rPr>
        <w:t>Quios</w:t>
      </w:r>
      <w:proofErr w:type="spellEnd"/>
      <w:r>
        <w:rPr>
          <w:rFonts w:ascii="Times New Roman" w:eastAsia="Times New Roman" w:hAnsi="Times New Roman" w:cs="Times New Roman"/>
          <w:sz w:val="24"/>
          <w:szCs w:val="24"/>
          <w:highlight w:val="white"/>
        </w:rPr>
        <w:t xml:space="preserve"> quando o telhado da escola despencou sobre cento e vinte crianças que lá aprendiam as letras. É preciso notar que o historiador não especifica que se trata de meninos, o que nos faz pensar que a escola era mista. Três séculos mais tarde, uma inscrição em </w:t>
      </w:r>
      <w:proofErr w:type="spellStart"/>
      <w:r>
        <w:rPr>
          <w:rFonts w:ascii="Times New Roman" w:eastAsia="Times New Roman" w:hAnsi="Times New Roman" w:cs="Times New Roman"/>
          <w:sz w:val="24"/>
          <w:szCs w:val="24"/>
          <w:highlight w:val="white"/>
        </w:rPr>
        <w:t>Téos</w:t>
      </w:r>
      <w:proofErr w:type="spellEnd"/>
      <w:r>
        <w:rPr>
          <w:rFonts w:ascii="Times New Roman" w:eastAsia="Times New Roman" w:hAnsi="Times New Roman" w:cs="Times New Roman"/>
          <w:sz w:val="24"/>
          <w:szCs w:val="24"/>
          <w:highlight w:val="white"/>
        </w:rPr>
        <w:t xml:space="preserve"> na Ásia Menor menciona a fundação estabelecida por um cidadão abastado, </w:t>
      </w:r>
      <w:proofErr w:type="spellStart"/>
      <w:r>
        <w:rPr>
          <w:rFonts w:ascii="Times New Roman" w:eastAsia="Times New Roman" w:hAnsi="Times New Roman" w:cs="Times New Roman"/>
          <w:sz w:val="24"/>
          <w:szCs w:val="24"/>
          <w:highlight w:val="white"/>
        </w:rPr>
        <w:t>Politrus</w:t>
      </w:r>
      <w:proofErr w:type="spellEnd"/>
      <w:r>
        <w:rPr>
          <w:rFonts w:ascii="Times New Roman" w:eastAsia="Times New Roman" w:hAnsi="Times New Roman" w:cs="Times New Roman"/>
          <w:sz w:val="24"/>
          <w:szCs w:val="24"/>
          <w:highlight w:val="white"/>
        </w:rPr>
        <w:t>, cujos rendimentos estavam destinados a financiar a educação dos mais jovens, meninos e meninas (</w:t>
      </w:r>
      <w:proofErr w:type="spellStart"/>
      <w:r>
        <w:rPr>
          <w:rFonts w:ascii="Times New Roman" w:eastAsia="Times New Roman" w:hAnsi="Times New Roman" w:cs="Times New Roman"/>
          <w:sz w:val="24"/>
          <w:szCs w:val="24"/>
          <w:highlight w:val="white"/>
        </w:rPr>
        <w:t>Syll</w:t>
      </w:r>
      <w:proofErr w:type="spellEnd"/>
      <w:r>
        <w:rPr>
          <w:rFonts w:ascii="Times New Roman" w:eastAsia="Times New Roman" w:hAnsi="Times New Roman" w:cs="Times New Roman"/>
          <w:sz w:val="24"/>
          <w:szCs w:val="24"/>
          <w:highlight w:val="white"/>
        </w:rPr>
        <w:t xml:space="preserve">. 3, 578). Pinturas em vasos representam jovens alunas aprendendo a ler e escrever, com tabuletas, </w:t>
      </w:r>
      <w:proofErr w:type="spellStart"/>
      <w:r>
        <w:rPr>
          <w:rFonts w:ascii="Times New Roman" w:eastAsia="Times New Roman" w:hAnsi="Times New Roman" w:cs="Times New Roman"/>
          <w:sz w:val="24"/>
          <w:szCs w:val="24"/>
          <w:highlight w:val="white"/>
        </w:rPr>
        <w:t>styli</w:t>
      </w:r>
      <w:proofErr w:type="spellEnd"/>
      <w:r>
        <w:rPr>
          <w:rFonts w:ascii="Times New Roman" w:eastAsia="Times New Roman" w:hAnsi="Times New Roman" w:cs="Times New Roman"/>
          <w:sz w:val="24"/>
          <w:szCs w:val="24"/>
          <w:highlight w:val="white"/>
        </w:rPr>
        <w:t xml:space="preserve"> ou rolos de papiro (1). No fim das contas, a educação das meninas, como a dos meninos, permanece uma questão de meio social. Na ilha de Lesbos, Safo (séc. VI a.C.), nascida de uma família rica e representante da poesia lírica ao lado do poeta Alceu (2), é a própria imagem da mulher de cultura (que hoje em dia chamaríamos de intelectual) (3).</w:t>
      </w:r>
    </w:p>
    <w:p w14:paraId="4CE74F85" w14:textId="77777777" w:rsidR="004767A3" w:rsidRDefault="004767A3" w:rsidP="004767A3">
      <w:pPr>
        <w:spacing w:line="360" w:lineRule="auto"/>
        <w:jc w:val="both"/>
        <w:rPr>
          <w:rFonts w:ascii="Times New Roman" w:eastAsia="Times New Roman" w:hAnsi="Times New Roman" w:cs="Times New Roman"/>
          <w:sz w:val="24"/>
          <w:szCs w:val="24"/>
          <w:highlight w:val="white"/>
        </w:rPr>
      </w:pPr>
    </w:p>
    <w:p w14:paraId="60E2923B" w14:textId="77777777" w:rsidR="004767A3" w:rsidRDefault="004767A3" w:rsidP="004767A3">
      <w:pPr>
        <w:spacing w:line="360" w:lineRule="auto"/>
        <w:jc w:val="both"/>
        <w:rPr>
          <w:rFonts w:ascii="Times New Roman" w:eastAsia="Times New Roman" w:hAnsi="Times New Roman" w:cs="Times New Roman"/>
          <w:sz w:val="24"/>
          <w:szCs w:val="24"/>
          <w:highlight w:val="white"/>
          <w:lang w:val="en-US"/>
        </w:rPr>
      </w:pPr>
      <w:proofErr w:type="spellStart"/>
      <w:r>
        <w:rPr>
          <w:rFonts w:ascii="Times New Roman" w:eastAsia="Times New Roman" w:hAnsi="Times New Roman" w:cs="Times New Roman"/>
          <w:sz w:val="24"/>
          <w:szCs w:val="24"/>
          <w:highlight w:val="white"/>
          <w:lang w:val="en-US"/>
        </w:rPr>
        <w:t>Notas</w:t>
      </w:r>
      <w:proofErr w:type="spellEnd"/>
      <w:r>
        <w:rPr>
          <w:rFonts w:ascii="Times New Roman" w:eastAsia="Times New Roman" w:hAnsi="Times New Roman" w:cs="Times New Roman"/>
          <w:sz w:val="24"/>
          <w:szCs w:val="24"/>
          <w:highlight w:val="white"/>
          <w:lang w:val="en-US"/>
        </w:rPr>
        <w:t>:</w:t>
      </w:r>
    </w:p>
    <w:p w14:paraId="6F10D75E" w14:textId="77777777" w:rsidR="004767A3" w:rsidRDefault="004767A3" w:rsidP="004767A3">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lang w:val="en-US"/>
        </w:rPr>
        <w:t xml:space="preserve">(1) Beck, Frederick A.G., Album of Greek Education: The Greeks at School and at Play, Sidney, </w:t>
      </w:r>
      <w:proofErr w:type="spellStart"/>
      <w:r>
        <w:rPr>
          <w:rFonts w:ascii="Times New Roman" w:eastAsia="Times New Roman" w:hAnsi="Times New Roman" w:cs="Times New Roman"/>
          <w:sz w:val="24"/>
          <w:szCs w:val="24"/>
          <w:highlight w:val="white"/>
          <w:lang w:val="en-US"/>
        </w:rPr>
        <w:t>Cheiron</w:t>
      </w:r>
      <w:proofErr w:type="spellEnd"/>
      <w:r>
        <w:rPr>
          <w:rFonts w:ascii="Times New Roman" w:eastAsia="Times New Roman" w:hAnsi="Times New Roman" w:cs="Times New Roman"/>
          <w:sz w:val="24"/>
          <w:szCs w:val="24"/>
          <w:highlight w:val="white"/>
          <w:lang w:val="en-US"/>
        </w:rPr>
        <w:t xml:space="preserve"> Press, 1975; </w:t>
      </w:r>
      <w:proofErr w:type="spellStart"/>
      <w:r>
        <w:rPr>
          <w:rFonts w:ascii="Times New Roman" w:eastAsia="Times New Roman" w:hAnsi="Times New Roman" w:cs="Times New Roman"/>
          <w:sz w:val="24"/>
          <w:szCs w:val="24"/>
          <w:highlight w:val="white"/>
          <w:lang w:val="en-US"/>
        </w:rPr>
        <w:t>sobre</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jovens</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mulheres</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ver</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Bielman</w:t>
      </w:r>
      <w:proofErr w:type="spellEnd"/>
      <w:r>
        <w:rPr>
          <w:rFonts w:ascii="Times New Roman" w:eastAsia="Times New Roman" w:hAnsi="Times New Roman" w:cs="Times New Roman"/>
          <w:sz w:val="24"/>
          <w:szCs w:val="24"/>
          <w:highlight w:val="white"/>
          <w:lang w:val="en-US"/>
        </w:rPr>
        <w:t xml:space="preserve">, Anne, “Une </w:t>
      </w:r>
      <w:proofErr w:type="spellStart"/>
      <w:r>
        <w:rPr>
          <w:rFonts w:ascii="Times New Roman" w:eastAsia="Times New Roman" w:hAnsi="Times New Roman" w:cs="Times New Roman"/>
          <w:sz w:val="24"/>
          <w:szCs w:val="24"/>
          <w:highlight w:val="white"/>
          <w:lang w:val="en-US"/>
        </w:rPr>
        <w:t>vertu</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en</w:t>
      </w:r>
      <w:proofErr w:type="spellEnd"/>
      <w:r>
        <w:rPr>
          <w:rFonts w:ascii="Times New Roman" w:eastAsia="Times New Roman" w:hAnsi="Times New Roman" w:cs="Times New Roman"/>
          <w:sz w:val="24"/>
          <w:szCs w:val="24"/>
          <w:highlight w:val="white"/>
          <w:lang w:val="en-US"/>
        </w:rPr>
        <w:t xml:space="preserve"> rouleau </w:t>
      </w:r>
      <w:proofErr w:type="spellStart"/>
      <w:r>
        <w:rPr>
          <w:rFonts w:ascii="Times New Roman" w:eastAsia="Times New Roman" w:hAnsi="Times New Roman" w:cs="Times New Roman"/>
          <w:sz w:val="24"/>
          <w:szCs w:val="24"/>
          <w:highlight w:val="white"/>
          <w:lang w:val="en-US"/>
        </w:rPr>
        <w:t>ou</w:t>
      </w:r>
      <w:proofErr w:type="spellEnd"/>
      <w:r>
        <w:rPr>
          <w:rFonts w:ascii="Times New Roman" w:eastAsia="Times New Roman" w:hAnsi="Times New Roman" w:cs="Times New Roman"/>
          <w:sz w:val="24"/>
          <w:szCs w:val="24"/>
          <w:highlight w:val="white"/>
          <w:lang w:val="en-US"/>
        </w:rPr>
        <w:t xml:space="preserve"> comment la </w:t>
      </w:r>
      <w:proofErr w:type="spellStart"/>
      <w:r>
        <w:rPr>
          <w:rFonts w:ascii="Times New Roman" w:eastAsia="Times New Roman" w:hAnsi="Times New Roman" w:cs="Times New Roman"/>
          <w:sz w:val="24"/>
          <w:szCs w:val="24"/>
          <w:highlight w:val="white"/>
          <w:lang w:val="en-US"/>
        </w:rPr>
        <w:t>sagesse</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vint</w:t>
      </w:r>
      <w:proofErr w:type="spellEnd"/>
      <w:r>
        <w:rPr>
          <w:rFonts w:ascii="Times New Roman" w:eastAsia="Times New Roman" w:hAnsi="Times New Roman" w:cs="Times New Roman"/>
          <w:sz w:val="24"/>
          <w:szCs w:val="24"/>
          <w:highlight w:val="white"/>
          <w:lang w:val="en-US"/>
        </w:rPr>
        <w:t xml:space="preserve"> aux Grecques”, in Regula Frei-</w:t>
      </w:r>
      <w:proofErr w:type="spellStart"/>
      <w:r>
        <w:rPr>
          <w:rFonts w:ascii="Times New Roman" w:eastAsia="Times New Roman" w:hAnsi="Times New Roman" w:cs="Times New Roman"/>
          <w:sz w:val="24"/>
          <w:szCs w:val="24"/>
          <w:highlight w:val="white"/>
          <w:lang w:val="en-US"/>
        </w:rPr>
        <w:t>Stolba</w:t>
      </w:r>
      <w:proofErr w:type="spellEnd"/>
      <w:r>
        <w:rPr>
          <w:rFonts w:ascii="Times New Roman" w:eastAsia="Times New Roman" w:hAnsi="Times New Roman" w:cs="Times New Roman"/>
          <w:sz w:val="24"/>
          <w:szCs w:val="24"/>
          <w:highlight w:val="white"/>
          <w:lang w:val="en-US"/>
        </w:rPr>
        <w:t xml:space="preserve">, Anne </w:t>
      </w:r>
      <w:proofErr w:type="spellStart"/>
      <w:r>
        <w:rPr>
          <w:rFonts w:ascii="Times New Roman" w:eastAsia="Times New Roman" w:hAnsi="Times New Roman" w:cs="Times New Roman"/>
          <w:sz w:val="24"/>
          <w:szCs w:val="24"/>
          <w:highlight w:val="white"/>
          <w:lang w:val="en-US"/>
        </w:rPr>
        <w:t>Bielman</w:t>
      </w:r>
      <w:proofErr w:type="spellEnd"/>
      <w:r>
        <w:rPr>
          <w:rFonts w:ascii="Times New Roman" w:eastAsia="Times New Roman" w:hAnsi="Times New Roman" w:cs="Times New Roman"/>
          <w:sz w:val="24"/>
          <w:szCs w:val="24"/>
          <w:highlight w:val="white"/>
          <w:lang w:val="en-US"/>
        </w:rPr>
        <w:t xml:space="preserve">, Olivier Bianchi (eds.), Les femmes antiques entre </w:t>
      </w:r>
      <w:proofErr w:type="spellStart"/>
      <w:r>
        <w:rPr>
          <w:rFonts w:ascii="Times New Roman" w:eastAsia="Times New Roman" w:hAnsi="Times New Roman" w:cs="Times New Roman"/>
          <w:sz w:val="24"/>
          <w:szCs w:val="24"/>
          <w:highlight w:val="white"/>
          <w:lang w:val="en-US"/>
        </w:rPr>
        <w:t>sphère</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privée</w:t>
      </w:r>
      <w:proofErr w:type="spellEnd"/>
      <w:r>
        <w:rPr>
          <w:rFonts w:ascii="Times New Roman" w:eastAsia="Times New Roman" w:hAnsi="Times New Roman" w:cs="Times New Roman"/>
          <w:sz w:val="24"/>
          <w:szCs w:val="24"/>
          <w:highlight w:val="white"/>
          <w:lang w:val="en-US"/>
        </w:rPr>
        <w:t xml:space="preserve"> et </w:t>
      </w:r>
      <w:proofErr w:type="spellStart"/>
      <w:r>
        <w:rPr>
          <w:rFonts w:ascii="Times New Roman" w:eastAsia="Times New Roman" w:hAnsi="Times New Roman" w:cs="Times New Roman"/>
          <w:sz w:val="24"/>
          <w:szCs w:val="24"/>
          <w:highlight w:val="white"/>
          <w:lang w:val="en-US"/>
        </w:rPr>
        <w:t>sphère</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publique</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rPr>
        <w:t>Actes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du</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Diplôme</w:t>
      </w:r>
      <w:proofErr w:type="spellEnd"/>
      <w:r>
        <w:rPr>
          <w:rFonts w:ascii="Times New Roman" w:eastAsia="Times New Roman" w:hAnsi="Times New Roman" w:cs="Times New Roman"/>
          <w:sz w:val="24"/>
          <w:szCs w:val="24"/>
          <w:highlight w:val="white"/>
        </w:rPr>
        <w:t xml:space="preserve"> d’</w:t>
      </w:r>
      <w:proofErr w:type="spellStart"/>
      <w:r>
        <w:rPr>
          <w:rFonts w:ascii="Times New Roman" w:eastAsia="Times New Roman" w:hAnsi="Times New Roman" w:cs="Times New Roman"/>
          <w:sz w:val="24"/>
          <w:szCs w:val="24"/>
          <w:highlight w:val="white"/>
        </w:rPr>
        <w:t>Études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Avancées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Universités</w:t>
      </w:r>
      <w:proofErr w:type="spellEnd"/>
      <w:r>
        <w:rPr>
          <w:rFonts w:ascii="Times New Roman" w:eastAsia="Times New Roman" w:hAnsi="Times New Roman" w:cs="Times New Roman"/>
          <w:sz w:val="24"/>
          <w:szCs w:val="24"/>
          <w:highlight w:val="white"/>
        </w:rPr>
        <w:t xml:space="preserve"> de Lausanne et </w:t>
      </w:r>
      <w:proofErr w:type="spellStart"/>
      <w:r>
        <w:rPr>
          <w:rFonts w:ascii="Times New Roman" w:eastAsia="Times New Roman" w:hAnsi="Times New Roman" w:cs="Times New Roman"/>
          <w:sz w:val="24"/>
          <w:szCs w:val="24"/>
          <w:highlight w:val="white"/>
        </w:rPr>
        <w:t>Neuchâtel</w:t>
      </w:r>
      <w:proofErr w:type="spellEnd"/>
      <w:r>
        <w:rPr>
          <w:rFonts w:ascii="Times New Roman" w:eastAsia="Times New Roman" w:hAnsi="Times New Roman" w:cs="Times New Roman"/>
          <w:sz w:val="24"/>
          <w:szCs w:val="24"/>
          <w:highlight w:val="white"/>
        </w:rPr>
        <w:t>, 2000-2002, Berne, Peter Lang, 2003, p. 79-81.</w:t>
      </w:r>
    </w:p>
    <w:p w14:paraId="74232D9A" w14:textId="77777777" w:rsidR="004767A3" w:rsidRDefault="004767A3" w:rsidP="004767A3">
      <w:pPr>
        <w:spacing w:line="360" w:lineRule="auto"/>
        <w:jc w:val="both"/>
        <w:rPr>
          <w:rFonts w:ascii="Times New Roman" w:eastAsia="Times New Roman" w:hAnsi="Times New Roman" w:cs="Times New Roman"/>
          <w:sz w:val="24"/>
          <w:szCs w:val="24"/>
          <w:highlight w:val="white"/>
          <w:lang w:val="en-US"/>
        </w:rPr>
      </w:pPr>
      <w:r>
        <w:rPr>
          <w:rFonts w:ascii="Times New Roman" w:eastAsia="Times New Roman" w:hAnsi="Times New Roman" w:cs="Times New Roman"/>
          <w:sz w:val="24"/>
          <w:szCs w:val="24"/>
          <w:highlight w:val="white"/>
          <w:lang w:val="en-US"/>
        </w:rPr>
        <w:t>(2) Ver Yatromanolakis, Dimitrios, Sappho in the Making: The Early Reception, Washington, D.C.: Center for Hellenistic Studies, Trustees for Harvard University, 2007.</w:t>
      </w:r>
    </w:p>
    <w:p w14:paraId="049961EA" w14:textId="77777777" w:rsidR="004767A3" w:rsidRDefault="004767A3" w:rsidP="004767A3">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lang w:val="en-US"/>
        </w:rPr>
        <w:t xml:space="preserve">(3) Zanker, Paul, The Mask of Socrates: The Image of the Intellectual in Antiquity, University of California Press, Berkeley-Los Angeles-Oxford, 1995; Bottini, Angelo (ed.), Musa pensosa. </w:t>
      </w:r>
      <w:proofErr w:type="spellStart"/>
      <w:r>
        <w:rPr>
          <w:rFonts w:ascii="Times New Roman" w:eastAsia="Times New Roman" w:hAnsi="Times New Roman" w:cs="Times New Roman"/>
          <w:sz w:val="24"/>
          <w:szCs w:val="24"/>
          <w:highlight w:val="white"/>
        </w:rPr>
        <w:t>L’immagine</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dell’intellettuale</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nell’antichità</w:t>
      </w:r>
      <w:proofErr w:type="spellEnd"/>
      <w:r>
        <w:rPr>
          <w:rFonts w:ascii="Times New Roman" w:eastAsia="Times New Roman" w:hAnsi="Times New Roman" w:cs="Times New Roman"/>
          <w:sz w:val="24"/>
          <w:szCs w:val="24"/>
          <w:highlight w:val="white"/>
        </w:rPr>
        <w:t xml:space="preserve">, Milano, </w:t>
      </w:r>
      <w:proofErr w:type="spellStart"/>
      <w:r>
        <w:rPr>
          <w:rFonts w:ascii="Times New Roman" w:eastAsia="Times New Roman" w:hAnsi="Times New Roman" w:cs="Times New Roman"/>
          <w:sz w:val="24"/>
          <w:szCs w:val="24"/>
          <w:highlight w:val="white"/>
        </w:rPr>
        <w:t>Electa</w:t>
      </w:r>
      <w:proofErr w:type="spellEnd"/>
      <w:r>
        <w:rPr>
          <w:rFonts w:ascii="Times New Roman" w:eastAsia="Times New Roman" w:hAnsi="Times New Roman" w:cs="Times New Roman"/>
          <w:sz w:val="24"/>
          <w:szCs w:val="24"/>
          <w:highlight w:val="white"/>
        </w:rPr>
        <w:t xml:space="preserve">, 2006.” </w:t>
      </w:r>
    </w:p>
    <w:p w14:paraId="0B4DEFF4" w14:textId="77777777" w:rsidR="004767A3" w:rsidRDefault="004767A3" w:rsidP="004767A3">
      <w:pPr>
        <w:spacing w:line="360" w:lineRule="auto"/>
        <w:jc w:val="both"/>
        <w:rPr>
          <w:rFonts w:ascii="Times New Roman" w:eastAsia="Times New Roman" w:hAnsi="Times New Roman" w:cs="Times New Roman"/>
          <w:sz w:val="24"/>
          <w:szCs w:val="24"/>
          <w:highlight w:val="white"/>
        </w:rPr>
      </w:pPr>
    </w:p>
    <w:p w14:paraId="47FB21FB" w14:textId="77777777" w:rsidR="004767A3" w:rsidRDefault="004767A3" w:rsidP="004767A3">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Texto 5 - Heroínas atléticas. Por </w:t>
      </w:r>
      <w:proofErr w:type="spellStart"/>
      <w:r>
        <w:rPr>
          <w:rFonts w:ascii="Times New Roman" w:eastAsia="Times New Roman" w:hAnsi="Times New Roman" w:cs="Times New Roman"/>
          <w:sz w:val="24"/>
          <w:szCs w:val="24"/>
          <w:highlight w:val="white"/>
        </w:rPr>
        <w:t>Villard</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Flavien</w:t>
      </w:r>
      <w:proofErr w:type="spellEnd"/>
      <w:r>
        <w:rPr>
          <w:rFonts w:ascii="Times New Roman" w:eastAsia="Times New Roman" w:hAnsi="Times New Roman" w:cs="Times New Roman"/>
          <w:sz w:val="24"/>
          <w:szCs w:val="24"/>
          <w:highlight w:val="white"/>
        </w:rPr>
        <w:t xml:space="preserve">. </w:t>
      </w:r>
    </w:p>
    <w:p w14:paraId="085378D2" w14:textId="77777777" w:rsidR="004767A3" w:rsidRDefault="004767A3" w:rsidP="004767A3">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“Nem todas as mulheres nos mitos são reduzidas a um papel passivo e afastadas das atividades físicas. Algumas histórias apresentam sob uma luz positiva figuras femininas com qualidades atléticas excepcionais. O ponto comum entre estas personagens é serem jovens mulheres não casadas (</w:t>
      </w:r>
      <w:proofErr w:type="spellStart"/>
      <w:r>
        <w:rPr>
          <w:rFonts w:ascii="Times New Roman" w:eastAsia="Times New Roman" w:hAnsi="Times New Roman" w:cs="Times New Roman"/>
          <w:sz w:val="24"/>
          <w:szCs w:val="24"/>
          <w:highlight w:val="white"/>
        </w:rPr>
        <w:t>parthenoi</w:t>
      </w:r>
      <w:proofErr w:type="spellEnd"/>
      <w:r>
        <w:rPr>
          <w:rFonts w:ascii="Times New Roman" w:eastAsia="Times New Roman" w:hAnsi="Times New Roman" w:cs="Times New Roman"/>
          <w:sz w:val="24"/>
          <w:szCs w:val="24"/>
          <w:highlight w:val="white"/>
        </w:rPr>
        <w:t>) às quais as proezas esportivas conferem um atrativo suplementar. Algumas dessas heroínas são rebeldes ao casamento e todas recusam as atividades apresentadas como tradicionalmente femininas. Cada uma deve, finalmente, ceder ao poder de Afrodite, do qual nenhum mortal é capaz de escapar.</w:t>
      </w:r>
    </w:p>
    <w:p w14:paraId="054ED394" w14:textId="77777777" w:rsidR="004767A3" w:rsidRDefault="004767A3" w:rsidP="004767A3">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Atalanta era uma jovem acadiana, filha de </w:t>
      </w:r>
      <w:proofErr w:type="spellStart"/>
      <w:r>
        <w:rPr>
          <w:rFonts w:ascii="Times New Roman" w:eastAsia="Times New Roman" w:hAnsi="Times New Roman" w:cs="Times New Roman"/>
          <w:sz w:val="24"/>
          <w:szCs w:val="24"/>
          <w:highlight w:val="white"/>
        </w:rPr>
        <w:t>Íaso</w:t>
      </w:r>
      <w:proofErr w:type="spellEnd"/>
      <w:r>
        <w:rPr>
          <w:rFonts w:ascii="Times New Roman" w:eastAsia="Times New Roman" w:hAnsi="Times New Roman" w:cs="Times New Roman"/>
          <w:sz w:val="24"/>
          <w:szCs w:val="24"/>
          <w:highlight w:val="white"/>
        </w:rPr>
        <w:t>, que se recusava a casar. Desde a época arcaica (</w:t>
      </w:r>
      <w:proofErr w:type="spellStart"/>
      <w:r>
        <w:rPr>
          <w:rFonts w:ascii="Times New Roman" w:eastAsia="Times New Roman" w:hAnsi="Times New Roman" w:cs="Times New Roman"/>
          <w:sz w:val="24"/>
          <w:szCs w:val="24"/>
          <w:highlight w:val="white"/>
        </w:rPr>
        <w:t>Teógnis</w:t>
      </w:r>
      <w:proofErr w:type="spellEnd"/>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Elegias</w:t>
      </w:r>
      <w:r>
        <w:rPr>
          <w:rFonts w:ascii="Times New Roman" w:eastAsia="Times New Roman" w:hAnsi="Times New Roman" w:cs="Times New Roman"/>
          <w:sz w:val="24"/>
          <w:szCs w:val="24"/>
          <w:highlight w:val="white"/>
        </w:rPr>
        <w:t xml:space="preserve">, II, 1282-1293) até o período imperial, diversos autores afirmam que ela foge da casa paterna e realiza inúmeras façanhas. Em alguns autores, ela </w:t>
      </w:r>
      <w:proofErr w:type="spellStart"/>
      <w:r>
        <w:rPr>
          <w:rFonts w:ascii="Times New Roman" w:eastAsia="Times New Roman" w:hAnsi="Times New Roman" w:cs="Times New Roman"/>
          <w:sz w:val="24"/>
          <w:szCs w:val="24"/>
          <w:highlight w:val="white"/>
        </w:rPr>
        <w:t>vence</w:t>
      </w:r>
      <w:proofErr w:type="spellEnd"/>
      <w:r>
        <w:rPr>
          <w:rFonts w:ascii="Times New Roman" w:eastAsia="Times New Roman" w:hAnsi="Times New Roman" w:cs="Times New Roman"/>
          <w:sz w:val="24"/>
          <w:szCs w:val="24"/>
          <w:highlight w:val="white"/>
        </w:rPr>
        <w:t xml:space="preserve"> notadamente </w:t>
      </w:r>
      <w:proofErr w:type="spellStart"/>
      <w:r>
        <w:rPr>
          <w:rFonts w:ascii="Times New Roman" w:eastAsia="Times New Roman" w:hAnsi="Times New Roman" w:cs="Times New Roman"/>
          <w:sz w:val="24"/>
          <w:szCs w:val="24"/>
          <w:highlight w:val="white"/>
        </w:rPr>
        <w:t>Peleu</w:t>
      </w:r>
      <w:proofErr w:type="spellEnd"/>
      <w:r>
        <w:rPr>
          <w:rFonts w:ascii="Times New Roman" w:eastAsia="Times New Roman" w:hAnsi="Times New Roman" w:cs="Times New Roman"/>
          <w:sz w:val="24"/>
          <w:szCs w:val="24"/>
          <w:highlight w:val="white"/>
        </w:rPr>
        <w:t xml:space="preserve"> na luta, quando dos funerais do rei </w:t>
      </w:r>
      <w:proofErr w:type="spellStart"/>
      <w:r>
        <w:rPr>
          <w:rFonts w:ascii="Times New Roman" w:eastAsia="Times New Roman" w:hAnsi="Times New Roman" w:cs="Times New Roman"/>
          <w:sz w:val="24"/>
          <w:szCs w:val="24"/>
          <w:highlight w:val="white"/>
        </w:rPr>
        <w:t>Pélias</w:t>
      </w:r>
      <w:proofErr w:type="spellEnd"/>
      <w:r>
        <w:rPr>
          <w:rFonts w:ascii="Times New Roman" w:eastAsia="Times New Roman" w:hAnsi="Times New Roman" w:cs="Times New Roman"/>
          <w:sz w:val="24"/>
          <w:szCs w:val="24"/>
          <w:highlight w:val="white"/>
        </w:rPr>
        <w:t xml:space="preserve">. A heroína acaba se deixando seduzir por </w:t>
      </w:r>
      <w:proofErr w:type="spellStart"/>
      <w:r>
        <w:rPr>
          <w:rFonts w:ascii="Times New Roman" w:eastAsia="Times New Roman" w:hAnsi="Times New Roman" w:cs="Times New Roman"/>
          <w:sz w:val="24"/>
          <w:szCs w:val="24"/>
          <w:highlight w:val="white"/>
        </w:rPr>
        <w:t>Melânion</w:t>
      </w:r>
      <w:proofErr w:type="spellEnd"/>
      <w:r>
        <w:rPr>
          <w:rFonts w:ascii="Times New Roman" w:eastAsia="Times New Roman" w:hAnsi="Times New Roman" w:cs="Times New Roman"/>
          <w:sz w:val="24"/>
          <w:szCs w:val="24"/>
          <w:highlight w:val="white"/>
        </w:rPr>
        <w:t xml:space="preserve">, com quem ela se casa. O episódio de luta conhece grande sucesso na cerâmica grega durante o séc. VI a.C., seja na Ática ou em outras regiões. Atalanta, reconhecível na imagem por sua pele pálida, segura firmemente </w:t>
      </w:r>
      <w:proofErr w:type="spellStart"/>
      <w:r>
        <w:rPr>
          <w:rFonts w:ascii="Times New Roman" w:eastAsia="Times New Roman" w:hAnsi="Times New Roman" w:cs="Times New Roman"/>
          <w:sz w:val="24"/>
          <w:szCs w:val="24"/>
          <w:highlight w:val="white"/>
        </w:rPr>
        <w:t>Peleu</w:t>
      </w:r>
      <w:proofErr w:type="spellEnd"/>
      <w:r>
        <w:rPr>
          <w:rFonts w:ascii="Times New Roman" w:eastAsia="Times New Roman" w:hAnsi="Times New Roman" w:cs="Times New Roman"/>
          <w:sz w:val="24"/>
          <w:szCs w:val="24"/>
          <w:highlight w:val="white"/>
        </w:rPr>
        <w:t xml:space="preserve"> pela nuca, em uma posição de luta que lhe é vantajosa.</w:t>
      </w:r>
    </w:p>
    <w:p w14:paraId="3C178C96" w14:textId="77777777" w:rsidR="004767A3" w:rsidRDefault="004767A3" w:rsidP="004767A3">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Outras versões contam uma outra história de Atalanta. Beócia, filha de </w:t>
      </w:r>
      <w:proofErr w:type="spellStart"/>
      <w:r>
        <w:rPr>
          <w:rFonts w:ascii="Times New Roman" w:eastAsia="Times New Roman" w:hAnsi="Times New Roman" w:cs="Times New Roman"/>
          <w:sz w:val="24"/>
          <w:szCs w:val="24"/>
          <w:highlight w:val="white"/>
        </w:rPr>
        <w:t>Escoineu</w:t>
      </w:r>
      <w:proofErr w:type="spellEnd"/>
      <w:r>
        <w:rPr>
          <w:rFonts w:ascii="Times New Roman" w:eastAsia="Times New Roman" w:hAnsi="Times New Roman" w:cs="Times New Roman"/>
          <w:sz w:val="24"/>
          <w:szCs w:val="24"/>
          <w:highlight w:val="white"/>
        </w:rPr>
        <w:t xml:space="preserve">, a jovem mulher, que recusava o casamento, desafiava seus pretendentes na corrida, com a aprovação de seu pai. Sua história é relatada essencialmente pelos fragmentos do Catálogo das Mulheres de Hesíodo (fr. 73-76). Em decorrência de sua beleza e sua graça, os jovens homens que desejavam obter sua mão eram muitos. </w:t>
      </w:r>
      <w:proofErr w:type="spellStart"/>
      <w:r>
        <w:rPr>
          <w:rFonts w:ascii="Times New Roman" w:eastAsia="Times New Roman" w:hAnsi="Times New Roman" w:cs="Times New Roman"/>
          <w:sz w:val="24"/>
          <w:szCs w:val="24"/>
          <w:highlight w:val="white"/>
        </w:rPr>
        <w:t>Hipômenes</w:t>
      </w:r>
      <w:proofErr w:type="spellEnd"/>
      <w:r>
        <w:rPr>
          <w:rFonts w:ascii="Times New Roman" w:eastAsia="Times New Roman" w:hAnsi="Times New Roman" w:cs="Times New Roman"/>
          <w:sz w:val="24"/>
          <w:szCs w:val="24"/>
          <w:highlight w:val="white"/>
        </w:rPr>
        <w:t xml:space="preserve"> foi o único a sair vencedor dessa prova, graças às maçãs de ouro de Afrodite, que retardaram a corrida de Atalanta. Ele pode, assim, esposar a jovem e escapar da morte que esperava os concorrentes sem sucesso. Se esse mito parece ter tido pouco sucesso na cerâmica grega, a versão de Ovídio nas Metamorfoses (X, 560-680) influenciou a pintura europeia moderna. Como Guido </w:t>
      </w:r>
      <w:proofErr w:type="spellStart"/>
      <w:r>
        <w:rPr>
          <w:rFonts w:ascii="Times New Roman" w:eastAsia="Times New Roman" w:hAnsi="Times New Roman" w:cs="Times New Roman"/>
          <w:sz w:val="24"/>
          <w:szCs w:val="24"/>
          <w:highlight w:val="white"/>
        </w:rPr>
        <w:t>Reni</w:t>
      </w:r>
      <w:proofErr w:type="spellEnd"/>
      <w:r>
        <w:rPr>
          <w:rFonts w:ascii="Times New Roman" w:eastAsia="Times New Roman" w:hAnsi="Times New Roman" w:cs="Times New Roman"/>
          <w:sz w:val="24"/>
          <w:szCs w:val="24"/>
          <w:highlight w:val="white"/>
        </w:rPr>
        <w:t>, diversos artistas escolheram representar o momento em que a jovem, colhendo as maçãs, aceita simbolicamente o casamento.</w:t>
      </w:r>
    </w:p>
    <w:p w14:paraId="6E793CB1" w14:textId="77777777" w:rsidR="004767A3" w:rsidRDefault="004767A3" w:rsidP="004767A3">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Em várias versões do mito, Cirene é apresentada como uma jovem garota atlética que entrava em combates com animais silvestres e lutou vitoriosamente contra um leão (</w:t>
      </w:r>
      <w:proofErr w:type="spellStart"/>
      <w:r>
        <w:rPr>
          <w:rFonts w:ascii="Times New Roman" w:eastAsia="Times New Roman" w:hAnsi="Times New Roman" w:cs="Times New Roman"/>
          <w:sz w:val="24"/>
          <w:szCs w:val="24"/>
          <w:highlight w:val="white"/>
        </w:rPr>
        <w:t>Calímaco</w:t>
      </w:r>
      <w:proofErr w:type="spellEnd"/>
      <w:r>
        <w:rPr>
          <w:rFonts w:ascii="Times New Roman" w:eastAsia="Times New Roman" w:hAnsi="Times New Roman" w:cs="Times New Roman"/>
          <w:sz w:val="24"/>
          <w:szCs w:val="24"/>
          <w:highlight w:val="white"/>
        </w:rPr>
        <w:t>, Hinos, II, 91-92). Píndaro (</w:t>
      </w:r>
      <w:proofErr w:type="spellStart"/>
      <w:r>
        <w:rPr>
          <w:rFonts w:ascii="Times New Roman" w:eastAsia="Times New Roman" w:hAnsi="Times New Roman" w:cs="Times New Roman"/>
          <w:i/>
          <w:sz w:val="24"/>
          <w:szCs w:val="24"/>
          <w:highlight w:val="white"/>
        </w:rPr>
        <w:t>Pítica</w:t>
      </w:r>
      <w:proofErr w:type="spellEnd"/>
      <w:r>
        <w:rPr>
          <w:rFonts w:ascii="Times New Roman" w:eastAsia="Times New Roman" w:hAnsi="Times New Roman" w:cs="Times New Roman"/>
          <w:sz w:val="24"/>
          <w:szCs w:val="24"/>
          <w:highlight w:val="white"/>
        </w:rPr>
        <w:t xml:space="preserve"> IX, 21) afirma que ela era filha de </w:t>
      </w:r>
      <w:proofErr w:type="spellStart"/>
      <w:r>
        <w:rPr>
          <w:rFonts w:ascii="Times New Roman" w:eastAsia="Times New Roman" w:hAnsi="Times New Roman" w:cs="Times New Roman"/>
          <w:sz w:val="24"/>
          <w:szCs w:val="24"/>
          <w:highlight w:val="white"/>
        </w:rPr>
        <w:t>Ipseu</w:t>
      </w:r>
      <w:proofErr w:type="spellEnd"/>
      <w:r>
        <w:rPr>
          <w:rFonts w:ascii="Times New Roman" w:eastAsia="Times New Roman" w:hAnsi="Times New Roman" w:cs="Times New Roman"/>
          <w:sz w:val="24"/>
          <w:szCs w:val="24"/>
          <w:highlight w:val="white"/>
        </w:rPr>
        <w:t>. Apolo, tomado de desejo por ela ao assistir essa luta, a raptou e levou à África, onde se uniu a ela. A figura de Cirene, vinculada à fundação da cidade de mesmo nome na Líbia, é, portanto, importante na região, e isso até a época imperial. Várias representações da jovem derrotando o leão nos chegaram, dentre elas este baixo-relevo do séc. II d.C. Nele, Carpos agradece a Cirene, representante da cidade, pela hospitalidade. Coroada na Líbia, a jovem aí aparece em toda a sua glória, resultado de proezas atléticas excepcionais.”</w:t>
      </w:r>
    </w:p>
    <w:p w14:paraId="3C1A4936" w14:textId="77777777" w:rsidR="004767A3" w:rsidRDefault="004767A3" w:rsidP="004767A3">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br w:type="page"/>
      </w:r>
    </w:p>
    <w:p w14:paraId="4F155F06" w14:textId="61C6D65C" w:rsidR="004767A3" w:rsidRDefault="004767A3" w:rsidP="004767A3">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GABARITO DA TAREFA – SOCIEDADE</w:t>
      </w:r>
    </w:p>
    <w:p w14:paraId="75D205D2" w14:textId="77777777" w:rsidR="004767A3" w:rsidRDefault="004767A3" w:rsidP="004767A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Resposta do terceiro link: </w:t>
      </w:r>
    </w:p>
    <w:p w14:paraId="15364F57" w14:textId="3AC50A92" w:rsidR="004767A3" w:rsidRDefault="004767A3" w:rsidP="004767A3">
      <w:pPr>
        <w:spacing w:line="360" w:lineRule="auto"/>
        <w:jc w:val="center"/>
        <w:rPr>
          <w:rFonts w:ascii="Times New Roman" w:eastAsia="Times New Roman" w:hAnsi="Times New Roman" w:cs="Times New Roman"/>
          <w:sz w:val="24"/>
          <w:szCs w:val="24"/>
        </w:rPr>
      </w:pPr>
      <w:r>
        <w:rPr>
          <w:rFonts w:ascii="Arial" w:eastAsia="Arial" w:hAnsi="Arial" w:cs="Arial"/>
          <w:noProof/>
        </w:rPr>
        <w:drawing>
          <wp:anchor distT="114300" distB="114300" distL="114300" distR="114300" simplePos="0" relativeHeight="251658240" behindDoc="1" locked="0" layoutInCell="1" allowOverlap="1" wp14:anchorId="6F0A7112" wp14:editId="33926BDC">
            <wp:simplePos x="0" y="0"/>
            <wp:positionH relativeFrom="column">
              <wp:posOffset>2276475</wp:posOffset>
            </wp:positionH>
            <wp:positionV relativeFrom="paragraph">
              <wp:posOffset>277495</wp:posOffset>
            </wp:positionV>
            <wp:extent cx="2047875" cy="2721776"/>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47875" cy="2721776"/>
                    </a:xfrm>
                    <a:prstGeom prst="rect">
                      <a:avLst/>
                    </a:prstGeom>
                    <a:noFill/>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cs="Times New Roman"/>
          <w:sz w:val="24"/>
          <w:szCs w:val="24"/>
        </w:rPr>
        <w:t xml:space="preserve">IMAGEM - Vaso de figuras negras </w:t>
      </w:r>
    </w:p>
    <w:p w14:paraId="5F8E6E6E" w14:textId="2F71C5FB" w:rsidR="004767A3" w:rsidRDefault="004767A3" w:rsidP="004767A3">
      <w:pPr>
        <w:spacing w:line="360" w:lineRule="auto"/>
        <w:jc w:val="center"/>
        <w:rPr>
          <w:rFonts w:ascii="Times New Roman" w:eastAsia="Times New Roman" w:hAnsi="Times New Roman" w:cs="Times New Roman"/>
          <w:sz w:val="24"/>
          <w:szCs w:val="24"/>
        </w:rPr>
      </w:pPr>
    </w:p>
    <w:p w14:paraId="762F6A25" w14:textId="77777777" w:rsidR="004767A3" w:rsidRDefault="004767A3" w:rsidP="004767A3">
      <w:pPr>
        <w:spacing w:line="360" w:lineRule="auto"/>
        <w:jc w:val="center"/>
        <w:rPr>
          <w:rFonts w:ascii="Times New Roman" w:eastAsia="Times New Roman" w:hAnsi="Times New Roman" w:cs="Times New Roman"/>
          <w:sz w:val="20"/>
          <w:szCs w:val="20"/>
        </w:rPr>
      </w:pPr>
    </w:p>
    <w:p w14:paraId="1407F4C5" w14:textId="77777777" w:rsidR="004767A3" w:rsidRDefault="004767A3" w:rsidP="004767A3">
      <w:pPr>
        <w:spacing w:line="360" w:lineRule="auto"/>
        <w:jc w:val="center"/>
        <w:rPr>
          <w:rFonts w:ascii="Times New Roman" w:eastAsia="Times New Roman" w:hAnsi="Times New Roman" w:cs="Times New Roman"/>
          <w:sz w:val="20"/>
          <w:szCs w:val="20"/>
        </w:rPr>
      </w:pPr>
    </w:p>
    <w:p w14:paraId="1045EFA1" w14:textId="77777777" w:rsidR="004767A3" w:rsidRDefault="004767A3" w:rsidP="004767A3">
      <w:pPr>
        <w:spacing w:line="360" w:lineRule="auto"/>
        <w:jc w:val="center"/>
        <w:rPr>
          <w:rFonts w:ascii="Times New Roman" w:eastAsia="Times New Roman" w:hAnsi="Times New Roman" w:cs="Times New Roman"/>
          <w:sz w:val="20"/>
          <w:szCs w:val="20"/>
        </w:rPr>
      </w:pPr>
    </w:p>
    <w:p w14:paraId="6606A098" w14:textId="77777777" w:rsidR="004767A3" w:rsidRDefault="004767A3" w:rsidP="004767A3">
      <w:pPr>
        <w:spacing w:line="360" w:lineRule="auto"/>
        <w:jc w:val="center"/>
        <w:rPr>
          <w:rFonts w:ascii="Times New Roman" w:eastAsia="Times New Roman" w:hAnsi="Times New Roman" w:cs="Times New Roman"/>
          <w:sz w:val="20"/>
          <w:szCs w:val="20"/>
        </w:rPr>
      </w:pPr>
    </w:p>
    <w:p w14:paraId="274BCE66" w14:textId="77777777" w:rsidR="004767A3" w:rsidRDefault="004767A3" w:rsidP="004767A3">
      <w:pPr>
        <w:spacing w:line="360" w:lineRule="auto"/>
        <w:jc w:val="center"/>
        <w:rPr>
          <w:rFonts w:ascii="Times New Roman" w:eastAsia="Times New Roman" w:hAnsi="Times New Roman" w:cs="Times New Roman"/>
          <w:sz w:val="20"/>
          <w:szCs w:val="20"/>
        </w:rPr>
      </w:pPr>
    </w:p>
    <w:p w14:paraId="52A97982" w14:textId="77777777" w:rsidR="004767A3" w:rsidRDefault="004767A3" w:rsidP="004767A3">
      <w:pPr>
        <w:spacing w:line="360" w:lineRule="auto"/>
        <w:rPr>
          <w:rFonts w:ascii="Times New Roman" w:eastAsia="Times New Roman" w:hAnsi="Times New Roman" w:cs="Times New Roman"/>
          <w:sz w:val="20"/>
          <w:szCs w:val="20"/>
        </w:rPr>
      </w:pPr>
    </w:p>
    <w:p w14:paraId="4AA76111" w14:textId="77777777" w:rsidR="004767A3" w:rsidRDefault="004767A3" w:rsidP="004767A3">
      <w:pPr>
        <w:spacing w:line="360" w:lineRule="auto"/>
        <w:jc w:val="center"/>
        <w:rPr>
          <w:rFonts w:ascii="Times New Roman" w:eastAsia="Times New Roman" w:hAnsi="Times New Roman" w:cs="Times New Roman"/>
          <w:sz w:val="20"/>
          <w:szCs w:val="20"/>
        </w:rPr>
      </w:pPr>
    </w:p>
    <w:p w14:paraId="7CC2EBDC" w14:textId="32CA2EE4" w:rsidR="004767A3" w:rsidRDefault="004767A3" w:rsidP="004767A3">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Fonte: Ânfora de colo de figuras negras, atribuída ao Pintor de Atalanta de Munique, 550-500 a.C., Munique, </w:t>
      </w:r>
      <w:proofErr w:type="spellStart"/>
      <w:r>
        <w:rPr>
          <w:rFonts w:ascii="Times New Roman" w:eastAsia="Times New Roman" w:hAnsi="Times New Roman" w:cs="Times New Roman"/>
          <w:sz w:val="20"/>
          <w:szCs w:val="20"/>
        </w:rPr>
        <w:t>Antikensammlungen</w:t>
      </w:r>
      <w:proofErr w:type="spellEnd"/>
      <w:r>
        <w:rPr>
          <w:rFonts w:ascii="Times New Roman" w:eastAsia="Times New Roman" w:hAnsi="Times New Roman" w:cs="Times New Roman"/>
          <w:sz w:val="20"/>
          <w:szCs w:val="20"/>
        </w:rPr>
        <w:t xml:space="preserve">, Inv. J584/1541. © </w:t>
      </w:r>
      <w:proofErr w:type="spellStart"/>
      <w:r>
        <w:rPr>
          <w:rFonts w:ascii="Times New Roman" w:eastAsia="Times New Roman" w:hAnsi="Times New Roman" w:cs="Times New Roman"/>
          <w:sz w:val="20"/>
          <w:szCs w:val="20"/>
        </w:rPr>
        <w:t>Munich</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Antikensammlungen</w:t>
      </w:r>
      <w:proofErr w:type="spellEnd"/>
      <w:r>
        <w:rPr>
          <w:rFonts w:ascii="Times New Roman" w:eastAsia="Times New Roman" w:hAnsi="Times New Roman" w:cs="Times New Roman"/>
          <w:sz w:val="20"/>
          <w:szCs w:val="20"/>
        </w:rPr>
        <w:t xml:space="preserve">. Foto: DR. Disponível em: </w:t>
      </w:r>
      <w:hyperlink r:id="rId12" w:history="1">
        <w:r>
          <w:rPr>
            <w:rStyle w:val="Hyperlink"/>
            <w:rFonts w:ascii="Times New Roman" w:eastAsia="Times New Roman" w:hAnsi="Times New Roman" w:cs="Times New Roman"/>
            <w:color w:val="1155CC"/>
            <w:sz w:val="20"/>
            <w:szCs w:val="20"/>
          </w:rPr>
          <w:t>https://musea.univ-angers.fr/exhibits/show/sair-do-gineceu--um-novo-olhar/</w:t>
        </w:r>
        <w:proofErr w:type="spellStart"/>
        <w:r>
          <w:rPr>
            <w:rStyle w:val="Hyperlink"/>
            <w:rFonts w:ascii="Times New Roman" w:eastAsia="Times New Roman" w:hAnsi="Times New Roman" w:cs="Times New Roman"/>
            <w:color w:val="1155CC"/>
            <w:sz w:val="20"/>
            <w:szCs w:val="20"/>
          </w:rPr>
          <w:t>exclu</w:t>
        </w:r>
        <w:proofErr w:type="spellEnd"/>
        <w:r>
          <w:rPr>
            <w:rStyle w:val="Hyperlink"/>
            <w:rFonts w:ascii="Times New Roman" w:eastAsia="Times New Roman" w:hAnsi="Times New Roman" w:cs="Times New Roman"/>
            <w:color w:val="1155CC"/>
            <w:sz w:val="20"/>
            <w:szCs w:val="20"/>
          </w:rPr>
          <w:t>--das-do-esporte-</w:t>
        </w:r>
      </w:hyperlink>
      <w:r>
        <w:rPr>
          <w:rFonts w:ascii="Times New Roman" w:eastAsia="Times New Roman" w:hAnsi="Times New Roman" w:cs="Times New Roman"/>
          <w:sz w:val="20"/>
          <w:szCs w:val="20"/>
        </w:rPr>
        <w:t xml:space="preserve">. </w:t>
      </w:r>
    </w:p>
    <w:p w14:paraId="5CDF55A0" w14:textId="77777777" w:rsidR="004767A3" w:rsidRDefault="004767A3" w:rsidP="004767A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Resposta do quarto link: </w:t>
      </w:r>
    </w:p>
    <w:p w14:paraId="7EE4BAF4" w14:textId="77777777" w:rsidR="004767A3" w:rsidRDefault="004767A3" w:rsidP="004767A3">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IMAGEM - Retrato de Olímpia de Épiro </w:t>
      </w:r>
    </w:p>
    <w:p w14:paraId="27E52F0F" w14:textId="38E99929" w:rsidR="004767A3" w:rsidRDefault="004767A3" w:rsidP="004767A3">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7EA0B1CD" wp14:editId="4A11C710">
            <wp:extent cx="2352675" cy="2578594"/>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68351" cy="2595775"/>
                    </a:xfrm>
                    <a:prstGeom prst="rect">
                      <a:avLst/>
                    </a:prstGeom>
                    <a:noFill/>
                    <a:ln>
                      <a:noFill/>
                    </a:ln>
                  </pic:spPr>
                </pic:pic>
              </a:graphicData>
            </a:graphic>
          </wp:inline>
        </w:drawing>
      </w:r>
    </w:p>
    <w:p w14:paraId="2D113F5F" w14:textId="75C2FF9E" w:rsidR="004767A3" w:rsidRPr="004767A3" w:rsidRDefault="004767A3" w:rsidP="004767A3">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Fonte: Retrato de Olímpia, mãe de Alexandre, o Grande, em medalhão antigo, 225-250 </w:t>
      </w:r>
      <w:proofErr w:type="spellStart"/>
      <w:r>
        <w:rPr>
          <w:rFonts w:ascii="Times New Roman" w:eastAsia="Times New Roman" w:hAnsi="Times New Roman" w:cs="Times New Roman"/>
          <w:sz w:val="20"/>
          <w:szCs w:val="20"/>
        </w:rPr>
        <w:t>dC.</w:t>
      </w:r>
      <w:proofErr w:type="spellEnd"/>
      <w:r>
        <w:rPr>
          <w:rFonts w:ascii="Times New Roman" w:eastAsia="Times New Roman" w:hAnsi="Times New Roman" w:cs="Times New Roman"/>
          <w:sz w:val="20"/>
          <w:szCs w:val="20"/>
        </w:rPr>
        <w:t xml:space="preserve"> Disponível em: </w:t>
      </w:r>
      <w:hyperlink r:id="rId14" w:history="1">
        <w:r>
          <w:rPr>
            <w:rStyle w:val="Hyperlink"/>
            <w:rFonts w:ascii="Times New Roman" w:eastAsia="Times New Roman" w:hAnsi="Times New Roman" w:cs="Times New Roman"/>
            <w:color w:val="1155CC"/>
            <w:sz w:val="20"/>
            <w:szCs w:val="20"/>
          </w:rPr>
          <w:t>https://commons.wikimedia.org/wiki/File:Coin_olympias_mus_theski.JPG</w:t>
        </w:r>
      </w:hyperlink>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Obs</w:t>
      </w:r>
      <w:proofErr w:type="spellEnd"/>
      <w:r>
        <w:rPr>
          <w:rFonts w:ascii="Times New Roman" w:eastAsia="Times New Roman" w:hAnsi="Times New Roman" w:cs="Times New Roman"/>
          <w:sz w:val="20"/>
          <w:szCs w:val="20"/>
        </w:rPr>
        <w:t xml:space="preserve">: foi adicionado um episódio de podcast que conta a vida de Olímpia como indicação para os alunos. </w:t>
      </w:r>
    </w:p>
    <w:p w14:paraId="368F3D6F" w14:textId="3DE6615F" w:rsidR="0020182C" w:rsidRPr="004767A3" w:rsidRDefault="004767A3" w:rsidP="004767A3">
      <w:pPr>
        <w:spacing w:line="36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A chave dessa tarefa: Atalanta.</w:t>
      </w:r>
      <w:bookmarkStart w:id="3" w:name="_GoBack"/>
      <w:bookmarkEnd w:id="3"/>
    </w:p>
    <w:sectPr w:rsidR="0020182C" w:rsidRPr="004767A3" w:rsidSect="00C07904">
      <w:headerReference w:type="even" r:id="rId15"/>
      <w:headerReference w:type="default" r:id="rId16"/>
      <w:headerReference w:type="first" r:id="rId17"/>
      <w:pgSz w:w="11906" w:h="16838"/>
      <w:pgMar w:top="720" w:right="720" w:bottom="720" w:left="720" w:header="708" w:footer="708"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F18B37" w14:textId="77777777" w:rsidR="00D709A4" w:rsidRDefault="00D709A4" w:rsidP="009A62CD">
      <w:pPr>
        <w:spacing w:after="0" w:line="240" w:lineRule="auto"/>
      </w:pPr>
      <w:r>
        <w:separator/>
      </w:r>
    </w:p>
  </w:endnote>
  <w:endnote w:type="continuationSeparator" w:id="0">
    <w:p w14:paraId="3CB2C5E4" w14:textId="77777777" w:rsidR="00D709A4" w:rsidRDefault="00D709A4" w:rsidP="009A62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Normal">
    <w:charset w:val="00"/>
    <w:family w:val="auto"/>
    <w:pitch w:val="variable"/>
    <w:sig w:usb0="00000087" w:usb1="00000000" w:usb2="00000000" w:usb3="00000000" w:csb0="0000001B" w:csb1="00000000"/>
  </w:font>
  <w:font w:name="Helvetica-Bold">
    <w:altName w:val="Helvetic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B026A5" w14:textId="77777777" w:rsidR="00D709A4" w:rsidRDefault="00D709A4" w:rsidP="009A62CD">
      <w:pPr>
        <w:spacing w:after="0" w:line="240" w:lineRule="auto"/>
      </w:pPr>
      <w:r>
        <w:separator/>
      </w:r>
    </w:p>
  </w:footnote>
  <w:footnote w:type="continuationSeparator" w:id="0">
    <w:p w14:paraId="4E81E919" w14:textId="77777777" w:rsidR="00D709A4" w:rsidRDefault="00D709A4" w:rsidP="009A62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72FFEA" w14:textId="7A56EA19" w:rsidR="009A62CD" w:rsidRDefault="004767A3">
    <w:pPr>
      <w:pStyle w:val="Cabealho"/>
    </w:pPr>
    <w:r>
      <w:rPr>
        <w:noProof/>
      </w:rPr>
      <w:pict w14:anchorId="735FBA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48360" o:spid="_x0000_s2050" type="#_x0000_t75" style="position:absolute;margin-left:0;margin-top:0;width:430.15pt;height:241.9pt;z-index:-251657216;mso-position-horizontal:center;mso-position-horizontal-relative:margin;mso-position-vertical:center;mso-position-vertical-relative:margin" o:allowincell="f">
          <v:imagedata r:id="rId1" o:title="fundo-branco"/>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72B75A" w14:textId="3A956A21" w:rsidR="009A62CD" w:rsidRPr="001A75E0" w:rsidRDefault="004767A3" w:rsidP="009A62CD">
    <w:pPr>
      <w:pStyle w:val="SemEspaamento"/>
      <w:jc w:val="both"/>
      <w:rPr>
        <w:rFonts w:ascii="Times New Roman" w:hAnsi="Times New Roman" w:cs="Times New Roman"/>
        <w:b/>
        <w:sz w:val="20"/>
        <w:szCs w:val="20"/>
      </w:rPr>
    </w:pPr>
    <w:r>
      <w:rPr>
        <w:rFonts w:ascii="Times New Roman" w:hAnsi="Times New Roman" w:cs="Times New Roman"/>
        <w:b/>
        <w:noProof/>
        <w:sz w:val="20"/>
        <w:szCs w:val="20"/>
      </w:rPr>
      <w:pict w14:anchorId="111555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48361" o:spid="_x0000_s2051" type="#_x0000_t75" style="position:absolute;left:0;text-align:left;margin-left:0;margin-top:0;width:430.15pt;height:241.9pt;z-index:-251656192;mso-position-horizontal:center;mso-position-horizontal-relative:margin;mso-position-vertical:center;mso-position-vertical-relative:margin" o:allowincell="f">
          <v:imagedata r:id="rId1" o:title="fundo-branco"/>
          <w10:wrap anchorx="margin" anchory="margin"/>
        </v:shape>
      </w:pict>
    </w:r>
    <w:r w:rsidR="009A62CD" w:rsidRPr="001A75E0">
      <w:rPr>
        <w:rFonts w:ascii="Times New Roman" w:hAnsi="Times New Roman" w:cs="Times New Roman"/>
        <w:b/>
        <w:sz w:val="20"/>
        <w:szCs w:val="20"/>
      </w:rPr>
      <w:t xml:space="preserve">Universidade Federal da Paraíba  </w:t>
    </w:r>
    <w:r w:rsidR="009A62CD" w:rsidRPr="001A75E0">
      <w:rPr>
        <w:rFonts w:ascii="Times New Roman" w:hAnsi="Times New Roman" w:cs="Times New Roman"/>
        <w:b/>
        <w:sz w:val="20"/>
        <w:szCs w:val="20"/>
      </w:rPr>
      <w:sym w:font="Symbol" w:char="F0A8"/>
    </w:r>
    <w:r w:rsidR="009A62CD" w:rsidRPr="001A75E0">
      <w:rPr>
        <w:rFonts w:ascii="Times New Roman" w:hAnsi="Times New Roman" w:cs="Times New Roman"/>
        <w:b/>
        <w:sz w:val="20"/>
        <w:szCs w:val="20"/>
      </w:rPr>
      <w:t xml:space="preserve">  Vocabulário Político da Antiguidade</w:t>
    </w:r>
  </w:p>
  <w:p w14:paraId="6DF0C073" w14:textId="2FB4762F" w:rsidR="009A62CD" w:rsidRPr="001A75E0" w:rsidRDefault="009A62CD" w:rsidP="009A62CD">
    <w:pPr>
      <w:pStyle w:val="SemEspaamento"/>
      <w:jc w:val="both"/>
      <w:rPr>
        <w:rStyle w:val="fontstyle01"/>
        <w:rFonts w:ascii="Times New Roman" w:hAnsi="Times New Roman" w:cs="Times New Roman"/>
        <w:sz w:val="20"/>
        <w:szCs w:val="20"/>
      </w:rPr>
    </w:pPr>
    <w:r w:rsidRPr="001A75E0">
      <w:rPr>
        <w:rStyle w:val="fontstyle01"/>
        <w:rFonts w:ascii="Times New Roman" w:hAnsi="Times New Roman" w:cs="Times New Roman"/>
        <w:sz w:val="20"/>
        <w:szCs w:val="20"/>
      </w:rPr>
      <w:t xml:space="preserve">Docentes: Priscilla Gontijo Leite </w:t>
    </w:r>
    <w:r w:rsidRPr="001A75E0">
      <w:rPr>
        <w:rStyle w:val="fontstyle21"/>
        <w:rFonts w:ascii="Times New Roman" w:hAnsi="Times New Roman" w:cs="Times New Roman"/>
        <w:sz w:val="20"/>
        <w:szCs w:val="20"/>
      </w:rPr>
      <w:t xml:space="preserve">e </w:t>
    </w:r>
    <w:r w:rsidRPr="001A75E0">
      <w:rPr>
        <w:rStyle w:val="fontstyle01"/>
        <w:rFonts w:ascii="Times New Roman" w:hAnsi="Times New Roman" w:cs="Times New Roman"/>
        <w:sz w:val="20"/>
        <w:szCs w:val="20"/>
      </w:rPr>
      <w:t xml:space="preserve">Lucas </w:t>
    </w:r>
    <w:proofErr w:type="spellStart"/>
    <w:r w:rsidRPr="001A75E0">
      <w:rPr>
        <w:rStyle w:val="fontstyle01"/>
        <w:rFonts w:ascii="Times New Roman" w:hAnsi="Times New Roman" w:cs="Times New Roman"/>
        <w:sz w:val="20"/>
        <w:szCs w:val="20"/>
      </w:rPr>
      <w:t>Consolin</w:t>
    </w:r>
    <w:proofErr w:type="spellEnd"/>
    <w:r w:rsidRPr="001A75E0">
      <w:rPr>
        <w:rStyle w:val="fontstyle01"/>
        <w:rFonts w:ascii="Times New Roman" w:hAnsi="Times New Roman" w:cs="Times New Roman"/>
        <w:sz w:val="20"/>
        <w:szCs w:val="20"/>
      </w:rPr>
      <w:t xml:space="preserve"> </w:t>
    </w:r>
    <w:proofErr w:type="spellStart"/>
    <w:r w:rsidRPr="001A75E0">
      <w:rPr>
        <w:rStyle w:val="fontstyle01"/>
        <w:rFonts w:ascii="Times New Roman" w:hAnsi="Times New Roman" w:cs="Times New Roman"/>
        <w:sz w:val="20"/>
        <w:szCs w:val="20"/>
      </w:rPr>
      <w:t>Dezotti</w:t>
    </w:r>
    <w:proofErr w:type="spellEnd"/>
    <w:r w:rsidRPr="001A75E0">
      <w:rPr>
        <w:rStyle w:val="fontstyle01"/>
        <w:rFonts w:ascii="Times New Roman" w:hAnsi="Times New Roman" w:cs="Times New Roman"/>
        <w:sz w:val="20"/>
        <w:szCs w:val="20"/>
      </w:rPr>
      <w:t xml:space="preserve">  </w:t>
    </w:r>
    <w:r w:rsidRPr="001A75E0">
      <w:rPr>
        <w:rFonts w:ascii="Times New Roman" w:hAnsi="Times New Roman" w:cs="Times New Roman"/>
        <w:b/>
        <w:bCs/>
        <w:sz w:val="20"/>
        <w:szCs w:val="20"/>
      </w:rPr>
      <w:sym w:font="Symbol" w:char="F0A8"/>
    </w:r>
    <w:r w:rsidRPr="001A75E0">
      <w:rPr>
        <w:rFonts w:ascii="Times New Roman" w:hAnsi="Times New Roman" w:cs="Times New Roman"/>
        <w:b/>
        <w:bCs/>
        <w:sz w:val="20"/>
        <w:szCs w:val="20"/>
      </w:rPr>
      <w:t xml:space="preserve">  </w:t>
    </w:r>
    <w:r w:rsidRPr="001A75E0">
      <w:rPr>
        <w:rStyle w:val="fontstyle21"/>
        <w:rFonts w:ascii="Times New Roman" w:hAnsi="Times New Roman" w:cs="Times New Roman"/>
        <w:sz w:val="20"/>
        <w:szCs w:val="20"/>
      </w:rPr>
      <w:t xml:space="preserve">Discente: </w:t>
    </w:r>
    <w:r w:rsidR="00D22BCA" w:rsidRPr="00D22BCA">
      <w:rPr>
        <w:rStyle w:val="fontstyle21"/>
        <w:rFonts w:ascii="Times New Roman" w:hAnsi="Times New Roman" w:cs="Times New Roman"/>
        <w:b w:val="0"/>
        <w:bCs w:val="0"/>
        <w:sz w:val="20"/>
        <w:szCs w:val="20"/>
      </w:rPr>
      <w:t>Júlia Ribeiro Pimentel</w:t>
    </w:r>
    <w:r w:rsidR="00D22BCA">
      <w:rPr>
        <w:rStyle w:val="fontstyle21"/>
        <w:rFonts w:ascii="Times New Roman" w:hAnsi="Times New Roman" w:cs="Times New Roman"/>
        <w:sz w:val="20"/>
        <w:szCs w:val="20"/>
      </w:rPr>
      <w:t xml:space="preserve"> </w:t>
    </w:r>
  </w:p>
  <w:p w14:paraId="62F2FD8D" w14:textId="236EA1CE" w:rsidR="009A62CD" w:rsidRPr="009A62CD" w:rsidRDefault="009A62CD" w:rsidP="009A62CD">
    <w:pPr>
      <w:pStyle w:val="SemEspaamento"/>
      <w:jc w:val="both"/>
      <w:rPr>
        <w:rFonts w:ascii="Times New Roman" w:hAnsi="Times New Roman" w:cs="Times New Roman"/>
        <w:sz w:val="20"/>
        <w:szCs w:val="20"/>
        <w:u w:val="single"/>
      </w:rPr>
    </w:pPr>
    <w:r w:rsidRPr="001A75E0">
      <w:rPr>
        <w:rStyle w:val="fontstyle01"/>
        <w:rFonts w:ascii="Times New Roman" w:hAnsi="Times New Roman" w:cs="Times New Roman"/>
        <w:sz w:val="20"/>
        <w:szCs w:val="20"/>
      </w:rPr>
      <w:t xml:space="preserve">Site: </w:t>
    </w:r>
    <w:r w:rsidRPr="001A75E0">
      <w:rPr>
        <w:rFonts w:ascii="Times New Roman" w:hAnsi="Times New Roman" w:cs="Times New Roman"/>
        <w:sz w:val="20"/>
        <w:szCs w:val="20"/>
        <w:u w:val="single"/>
      </w:rPr>
      <w:t>http://www.cchla.ufpb.br/laborhis/vocabulario-politico/</w:t>
    </w:r>
  </w:p>
  <w:p w14:paraId="00A4C752" w14:textId="77777777" w:rsidR="009A62CD" w:rsidRDefault="009A62CD">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64D02F" w14:textId="410FC435" w:rsidR="009A62CD" w:rsidRDefault="004767A3">
    <w:pPr>
      <w:pStyle w:val="Cabealho"/>
    </w:pPr>
    <w:r>
      <w:rPr>
        <w:noProof/>
      </w:rPr>
      <w:pict w14:anchorId="14E6EE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48359" o:spid="_x0000_s2049" type="#_x0000_t75" style="position:absolute;margin-left:0;margin-top:0;width:430.15pt;height:241.9pt;z-index:-251658240;mso-position-horizontal:center;mso-position-horizontal-relative:margin;mso-position-vertical:center;mso-position-vertical-relative:margin" o:allowincell="f">
          <v:imagedata r:id="rId1" o:title="fundo-branco"/>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43560B"/>
    <w:multiLevelType w:val="multilevel"/>
    <w:tmpl w:val="548AB77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 w15:restartNumberingAfterBreak="0">
    <w:nsid w:val="40EC69EC"/>
    <w:multiLevelType w:val="multilevel"/>
    <w:tmpl w:val="8F6A5CA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495B727D"/>
    <w:multiLevelType w:val="multilevel"/>
    <w:tmpl w:val="C61A7980"/>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 w15:restartNumberingAfterBreak="0">
    <w:nsid w:val="545D2E4A"/>
    <w:multiLevelType w:val="multilevel"/>
    <w:tmpl w:val="F1C8260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abstractNumId w:val="0"/>
    <w:lvlOverride w:ilvl="0"/>
    <w:lvlOverride w:ilvl="1"/>
    <w:lvlOverride w:ilvl="2"/>
    <w:lvlOverride w:ilvl="3"/>
    <w:lvlOverride w:ilvl="4"/>
    <w:lvlOverride w:ilvl="5"/>
    <w:lvlOverride w:ilvl="6"/>
    <w:lvlOverride w:ilvl="7"/>
    <w:lvlOverride w:ilvl="8"/>
  </w:num>
  <w:num w:numId="2">
    <w:abstractNumId w:val="2"/>
    <w:lvlOverride w:ilvl="0"/>
    <w:lvlOverride w:ilvl="1"/>
    <w:lvlOverride w:ilvl="2"/>
    <w:lvlOverride w:ilvl="3"/>
    <w:lvlOverride w:ilvl="4"/>
    <w:lvlOverride w:ilvl="5"/>
    <w:lvlOverride w:ilvl="6"/>
    <w:lvlOverride w:ilvl="7"/>
    <w:lvlOverride w:ilvl="8"/>
  </w:num>
  <w:num w:numId="3">
    <w:abstractNumId w:val="1"/>
    <w:lvlOverride w:ilvl="0"/>
    <w:lvlOverride w:ilvl="1"/>
    <w:lvlOverride w:ilvl="2"/>
    <w:lvlOverride w:ilvl="3"/>
    <w:lvlOverride w:ilvl="4"/>
    <w:lvlOverride w:ilvl="5"/>
    <w:lvlOverride w:ilvl="6"/>
    <w:lvlOverride w:ilvl="7"/>
    <w:lvlOverride w:ilvl="8"/>
  </w:num>
  <w:num w:numId="4">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182C"/>
    <w:rsid w:val="0020182C"/>
    <w:rsid w:val="004767A3"/>
    <w:rsid w:val="008C1CAF"/>
    <w:rsid w:val="008C741B"/>
    <w:rsid w:val="00907B5A"/>
    <w:rsid w:val="00936D2C"/>
    <w:rsid w:val="009A62CD"/>
    <w:rsid w:val="00C07904"/>
    <w:rsid w:val="00D22BCA"/>
    <w:rsid w:val="00D51675"/>
    <w:rsid w:val="00D65087"/>
    <w:rsid w:val="00D709A4"/>
    <w:rsid w:val="00DD143F"/>
    <w:rsid w:val="00DE55FB"/>
    <w:rsid w:val="00DF7F32"/>
    <w:rsid w:val="00EB51F9"/>
    <w:rsid w:val="00EC3102"/>
    <w:rsid w:val="00F359D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BEDEDBE"/>
  <w15:chartTrackingRefBased/>
  <w15:docId w15:val="{9680B81B-7588-43E0-B4AF-BD7FC8EC5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67A3"/>
    <w:pPr>
      <w:spacing w:line="25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C07904"/>
    <w:pPr>
      <w:spacing w:after="0" w:line="240" w:lineRule="auto"/>
    </w:pPr>
  </w:style>
  <w:style w:type="character" w:customStyle="1" w:styleId="fontstyle01">
    <w:name w:val="fontstyle01"/>
    <w:basedOn w:val="Fontepargpadro"/>
    <w:rsid w:val="00C07904"/>
    <w:rPr>
      <w:rFonts w:ascii="Helvetica-Normal" w:hAnsi="Helvetica-Normal" w:hint="default"/>
      <w:b w:val="0"/>
      <w:bCs w:val="0"/>
      <w:i w:val="0"/>
      <w:iCs w:val="0"/>
      <w:color w:val="231F20"/>
      <w:sz w:val="40"/>
      <w:szCs w:val="40"/>
    </w:rPr>
  </w:style>
  <w:style w:type="character" w:customStyle="1" w:styleId="fontstyle21">
    <w:name w:val="fontstyle21"/>
    <w:basedOn w:val="Fontepargpadro"/>
    <w:rsid w:val="00C07904"/>
    <w:rPr>
      <w:rFonts w:ascii="Helvetica-Bold" w:hAnsi="Helvetica-Bold" w:hint="default"/>
      <w:b/>
      <w:bCs/>
      <w:i w:val="0"/>
      <w:iCs w:val="0"/>
      <w:color w:val="231F20"/>
      <w:sz w:val="36"/>
      <w:szCs w:val="36"/>
    </w:rPr>
  </w:style>
  <w:style w:type="paragraph" w:styleId="Cabealho">
    <w:name w:val="header"/>
    <w:basedOn w:val="Normal"/>
    <w:link w:val="CabealhoChar"/>
    <w:uiPriority w:val="99"/>
    <w:unhideWhenUsed/>
    <w:rsid w:val="009A62C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A62CD"/>
  </w:style>
  <w:style w:type="paragraph" w:styleId="Rodap">
    <w:name w:val="footer"/>
    <w:basedOn w:val="Normal"/>
    <w:link w:val="RodapChar"/>
    <w:uiPriority w:val="99"/>
    <w:unhideWhenUsed/>
    <w:rsid w:val="009A62CD"/>
    <w:pPr>
      <w:tabs>
        <w:tab w:val="center" w:pos="4252"/>
        <w:tab w:val="right" w:pos="8504"/>
      </w:tabs>
      <w:spacing w:after="0" w:line="240" w:lineRule="auto"/>
    </w:pPr>
  </w:style>
  <w:style w:type="character" w:customStyle="1" w:styleId="RodapChar">
    <w:name w:val="Rodapé Char"/>
    <w:basedOn w:val="Fontepargpadro"/>
    <w:link w:val="Rodap"/>
    <w:uiPriority w:val="99"/>
    <w:rsid w:val="009A62CD"/>
  </w:style>
  <w:style w:type="character" w:styleId="Hyperlink">
    <w:name w:val="Hyperlink"/>
    <w:basedOn w:val="Fontepargpadro"/>
    <w:uiPriority w:val="99"/>
    <w:semiHidden/>
    <w:unhideWhenUsed/>
    <w:rsid w:val="004767A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8734174">
      <w:bodyDiv w:val="1"/>
      <w:marLeft w:val="0"/>
      <w:marRight w:val="0"/>
      <w:marTop w:val="0"/>
      <w:marBottom w:val="0"/>
      <w:divBdr>
        <w:top w:val="none" w:sz="0" w:space="0" w:color="auto"/>
        <w:left w:val="none" w:sz="0" w:space="0" w:color="auto"/>
        <w:bottom w:val="none" w:sz="0" w:space="0" w:color="auto"/>
        <w:right w:val="none" w:sz="0" w:space="0" w:color="auto"/>
      </w:divBdr>
    </w:div>
    <w:div w:id="1416246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usea-archive.univ-angers.fr/exhibits/show/sair-do-gineceu--um-novo-olhar/n--o-cidad--s-" TargetMode="External"/><Relationship Id="rId13" Type="http://schemas.openxmlformats.org/officeDocument/2006/relationships/image" Target="media/image2.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usea-archive.univ-angers.fr/exhibits/show/sair-do-gineceu--um-novo-olhar/eternas-menores-" TargetMode="External"/><Relationship Id="rId12" Type="http://schemas.openxmlformats.org/officeDocument/2006/relationships/hyperlink" Target="https://musea.univ-angers.fr/exhibits/show/sair-do-gineceu--um-novo-olhar/exclu--das-do-esporte-"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musea-archive.univ-angers.fr/exhibits/show/sair-do-gineceu--um-novo-olhar/exclu--das-do-esporte-"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usea-archive.univ-angers.fr/exhibits/show/sair-do-gineceu--um-novo-olhar/privadas-de-cultura-" TargetMode="External"/><Relationship Id="rId14" Type="http://schemas.openxmlformats.org/officeDocument/2006/relationships/hyperlink" Target="https://commons.wikimedia.org/wiki/File:Coin_olympias_mus_theski.JP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7</Pages>
  <Words>2345</Words>
  <Characters>12668</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Laryssa Alves</dc:creator>
  <cp:keywords/>
  <dc:description/>
  <cp:lastModifiedBy>r.julia_gt@yahoo.com.br</cp:lastModifiedBy>
  <cp:revision>14</cp:revision>
  <dcterms:created xsi:type="dcterms:W3CDTF">2019-11-26T14:25:00Z</dcterms:created>
  <dcterms:modified xsi:type="dcterms:W3CDTF">2024-05-08T18:49:00Z</dcterms:modified>
</cp:coreProperties>
</file>